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89C6A"/>
          <w:sz w:val="22"/>
        </w:rPr>
        <w:t>NJ PROPERTY TOOLKIT</w:t>
        <w:br/>
      </w:r>
      <w:r>
        <w:rPr>
          <w:rFonts w:ascii="Cormorant Garamond" w:hAnsi="Cormorant Garamond"/>
          <w:color w:val="0F1F38"/>
          <w:sz w:val="60"/>
        </w:rPr>
        <w:br/>
        <w:t>New Jersey Foreclosure Deadline Tracker</w:t>
        <w:br/>
      </w:r>
      <w:r>
        <w:rPr>
          <w:b/>
          <w:color w:val="B89C6A"/>
          <w:sz w:val="17"/>
        </w:rPr>
        <w:br/>
        <w:t>NJ Property Toolkit - Workbook No. 6</w:t>
        <w:br/>
      </w:r>
      <w:r>
        <w:rPr>
          <w:sz w:val="22"/>
        </w:rPr>
        <w:br/>
        <w:t>A print-ready workbook helping New Jersey homeowners and families organize mortgage notices, response dates, loss-mitigation submissions, court stages, sheriff sale information, and urgent next steps.</w:t>
        <w:br/>
        <w:br/>
      </w:r>
      <w:r>
        <w:t>Viera Investment Group LLC</w:t>
        <w:br/>
        <w:t>vierainvestmentgroup.com | 973-939-5151 | Text/SMS 424-440-2739</w:t>
        <w:br/>
        <w:t>v1.0 | Updated July 11, 2026</w:t>
      </w:r>
    </w:p>
    <w:p>
      <w:r>
        <w:br w:type="page"/>
      </w:r>
    </w:p>
    <w:p>
      <w:pPr>
        <w:pStyle w:val="Heading1"/>
      </w:pPr>
      <w:r>
        <w:rPr>
          <w:rFonts w:ascii="Cormorant Garamond" w:hAnsi="Cormorant Garamond"/>
          <w:color w:val="0F1F38"/>
        </w:rPr>
        <w:t>New Jersey Foreclosure Deadline Tracker</w:t>
      </w:r>
    </w:p>
    <w:p>
      <w:r>
        <w:t>A print-ready workbook helping New Jersey homeowners and families organize mortgage notices, response dates, loss-mitigation submissions, court stages, sheriff sale information, and urgent next steps.</w:t>
      </w:r>
    </w:p>
    <w:tbl>
      <w:tblPr>
        <w:tblStyle w:val="TableGrid"/>
        <w:tblW w:type="auto" w:w="0"/>
        <w:tblLook w:firstColumn="1" w:firstRow="1" w:lastColumn="0" w:lastRow="0" w:noHBand="0" w:noVBand="1" w:val="04A0"/>
      </w:tblPr>
      <w:tblGrid>
        <w:gridCol w:w="2556"/>
        <w:gridCol w:w="2556"/>
        <w:gridCol w:w="2556"/>
        <w:gridCol w:w="2556"/>
      </w:tblGrid>
      <w:tr>
        <w:tc>
          <w:tcPr>
            <w:tcW w:type="dxa" w:w="2556"/>
          </w:tcPr>
          <w:p>
            <w:r>
              <w:t>Prepared by</w:t>
            </w:r>
          </w:p>
        </w:tc>
        <w:tc>
          <w:tcPr>
            <w:tcW w:type="dxa" w:w="2556"/>
          </w:tcPr>
          <w:p>
            <w:r>
              <w:t>Prepared for</w:t>
            </w:r>
          </w:p>
        </w:tc>
        <w:tc>
          <w:tcPr>
            <w:tcW w:type="dxa" w:w="2556"/>
          </w:tcPr>
          <w:p>
            <w:r>
              <w:t>Version</w:t>
            </w:r>
          </w:p>
        </w:tc>
        <w:tc>
          <w:tcPr>
            <w:tcW w:type="dxa" w:w="2556"/>
          </w:tcPr>
          <w:p>
            <w:r>
              <w:t>Updated</w:t>
            </w:r>
          </w:p>
        </w:tc>
      </w:tr>
      <w:tr>
        <w:tc>
          <w:tcPr>
            <w:tcW w:type="dxa" w:w="2556"/>
          </w:tcPr>
          <w:p>
            <w:r>
              <w:t>Viera Investment Group LLC</w:t>
            </w:r>
          </w:p>
        </w:tc>
        <w:tc>
          <w:tcPr>
            <w:tcW w:type="dxa" w:w="2556"/>
          </w:tcPr>
          <w:p>
            <w:r>
              <w:t>New Jersey homeowners, heirs, families, housing counselors, and property professionals</w:t>
            </w:r>
          </w:p>
        </w:tc>
        <w:tc>
          <w:tcPr>
            <w:tcW w:type="dxa" w:w="2556"/>
          </w:tcPr>
          <w:p>
            <w:r>
              <w:t>v1.0</w:t>
            </w:r>
          </w:p>
        </w:tc>
        <w:tc>
          <w:tcPr>
            <w:tcW w:type="dxa" w:w="2556"/>
          </w:tcPr>
          <w:p>
            <w:r>
              <w:t>July 11, 2026</w:t>
            </w:r>
          </w:p>
        </w:tc>
      </w:tr>
    </w:tbl>
    <w:p/>
    <w:p>
      <w:r>
        <w:t>This workbook is an educational planning tool designed to help organize documents, deadlines, questions, and information. It is not legal, tax, accounting, financial, or investment advice and should not replace guidance from licensed professionals.</w:t>
      </w:r>
    </w:p>
    <w:p>
      <w:r>
        <w:t>Our role is to help people understand complicated residential property situations, simplify the process, coordinate experienced professionals when appropriate, and help families move forward with greater clarity and confidence—not replace the advice of licensed professionals.</w:t>
      </w:r>
    </w:p>
    <w:p>
      <w:r>
        <w:t>Complex residential property situations often require several professionals working together. Depending on the circumstances, Viera Investment Group LLC may help coordinate the property-related process with experienced attorneys, title companies, loan servicers, lenders, estate professionals, municipal offices, contractors, Realtors®, accountants, financial professionals, and other licensed specialists.</w:t>
      </w:r>
    </w:p>
    <w:p>
      <w:r>
        <w:br w:type="page"/>
      </w:r>
    </w:p>
    <w:p>
      <w:pPr>
        <w:pStyle w:val="Heading1"/>
      </w:pPr>
      <w:r>
        <w:rPr>
          <w:rFonts w:ascii="Cormorant Garamond" w:hAnsi="Cormorant Garamond"/>
          <w:color w:val="0F1F38"/>
        </w:rPr>
        <w:t>Welcome</w:t>
      </w:r>
    </w:p>
    <w:p>
      <w:r>
        <w:t>Foreclosure deadlines can come from several places at once: the mortgage servicer, a law firm, the New Jersey Superior Court, a county sheriff, a mediation program, or a loss-mitigation decision. This workbook creates one dated record for all of them.</w:t>
      </w:r>
    </w:p>
    <w:p>
      <w:r>
        <w:t>Use the tracker to preserve notices, calculate follow-up dates carefully, record who confirmed each deadline, and connect every date to a document, docket entry, or written servicer message.</w:t>
      </w:r>
    </w:p>
    <w:p>
      <w:pPr>
        <w:pStyle w:val="Heading2"/>
      </w:pPr>
      <w:r>
        <w:rPr>
          <w:rFonts w:ascii="Cormorant Garamond" w:hAnsi="Cormorant Garamond"/>
          <w:color w:val="0F1F38"/>
        </w:rPr>
        <w:t>Who this workbook is for</w:t>
      </w:r>
    </w:p>
    <w:p>
      <w:pPr>
        <w:spacing w:after="60"/>
      </w:pPr>
      <w:r>
        <w:rPr>
          <w:b/>
          <w:color w:val="B89C6A"/>
        </w:rPr>
        <w:t xml:space="preserve">☐ </w:t>
      </w:r>
      <w:r>
        <w:t>New Jersey homeowners who are behind on mortgage payments or received a foreclosure-related notice.</w:t>
      </w:r>
    </w:p>
    <w:p>
      <w:pPr>
        <w:spacing w:after="60"/>
      </w:pPr>
      <w:r>
        <w:rPr>
          <w:b/>
          <w:color w:val="B89C6A"/>
        </w:rPr>
        <w:t xml:space="preserve">☐ </w:t>
      </w:r>
      <w:r>
        <w:t>Heirs, spouses, authorized representatives, and family coordinators helping with an owner-occupied or inherited property.</w:t>
      </w:r>
    </w:p>
    <w:p>
      <w:pPr>
        <w:spacing w:after="60"/>
      </w:pPr>
      <w:r>
        <w:rPr>
          <w:b/>
          <w:color w:val="B89C6A"/>
        </w:rPr>
        <w:t xml:space="preserve">☐ </w:t>
      </w:r>
      <w:r>
        <w:t>Housing counselors, attorneys, and property professionals organizing a time-sensitive file with the homeowner.</w:t>
      </w:r>
    </w:p>
    <w:p>
      <w:pPr>
        <w:pStyle w:val="Heading2"/>
      </w:pPr>
      <w:r>
        <w:rPr>
          <w:rFonts w:ascii="Cormorant Garamond" w:hAnsi="Cormorant Garamond"/>
          <w:color w:val="0F1F38"/>
        </w:rPr>
        <w:t>Use this first</w:t>
      </w:r>
    </w:p>
    <w:p>
      <w:pPr>
        <w:spacing w:after="60"/>
      </w:pPr>
      <w:r>
        <w:rPr>
          <w:b/>
          <w:color w:val="B89C6A"/>
        </w:rPr>
        <w:t xml:space="preserve">☐ </w:t>
      </w:r>
      <w:r>
        <w:t>Save every page and envelope from the servicer, foreclosure attorney, court, mediator, and sheriff.</w:t>
      </w:r>
    </w:p>
    <w:p>
      <w:pPr>
        <w:spacing w:after="60"/>
      </w:pPr>
      <w:r>
        <w:rPr>
          <w:b/>
          <w:color w:val="B89C6A"/>
        </w:rPr>
        <w:t xml:space="preserve">☐ </w:t>
      </w:r>
      <w:r>
        <w:t>Write the received date on each item and confirm how service or delivery occurred.</w:t>
      </w:r>
    </w:p>
    <w:p>
      <w:pPr>
        <w:spacing w:after="60"/>
      </w:pPr>
      <w:r>
        <w:rPr>
          <w:b/>
          <w:color w:val="B89C6A"/>
        </w:rPr>
        <w:t xml:space="preserve">☐ </w:t>
      </w:r>
      <w:r>
        <w:t>Do not rely on a general timeline when a notice, court rule, order, or scheduled sale gives a specific date.</w:t>
      </w:r>
    </w:p>
    <w:p>
      <w:pPr>
        <w:spacing w:after="60"/>
      </w:pPr>
      <w:r>
        <w:rPr>
          <w:b/>
          <w:color w:val="B89C6A"/>
        </w:rPr>
        <w:t xml:space="preserve">☐ </w:t>
      </w:r>
      <w:r>
        <w:t>Seek prompt legal help when a complaint, default, judgment, writ, or sheriff sale is involved.</w:t>
      </w:r>
    </w:p>
    <w:p>
      <w:r>
        <w:br w:type="page"/>
      </w:r>
    </w:p>
    <w:p>
      <w:pPr>
        <w:pStyle w:val="Heading1"/>
      </w:pPr>
      <w:r>
        <w:rPr>
          <w:rFonts w:ascii="Cormorant Garamond" w:hAnsi="Cormorant Garamond"/>
          <w:color w:val="0F1F38"/>
        </w:rPr>
        <w:t>How to Use This Workbook</w:t>
      </w:r>
    </w:p>
    <w:p>
      <w:r>
        <w:t>Update this workbook after every letter, call, upload, filing, docket check, mediation event, loss-mitigation decision, and sheriff notice.</w:t>
      </w:r>
    </w:p>
    <w:p>
      <w:pPr>
        <w:pStyle w:val="Heading2"/>
      </w:pPr>
      <w:r>
        <w:rPr>
          <w:rFonts w:ascii="Cormorant Garamond" w:hAnsi="Cormorant Garamond"/>
          <w:color w:val="0F1F38"/>
        </w:rPr>
        <w:t>Recommended order</w:t>
      </w:r>
    </w:p>
    <w:p>
      <w:pPr>
        <w:spacing w:after="60"/>
      </w:pPr>
      <w:r>
        <w:rPr>
          <w:b/>
          <w:color w:val="B89C6A"/>
        </w:rPr>
        <w:t xml:space="preserve">☐ </w:t>
      </w:r>
      <w:r>
        <w:t>Complete the loan, property, borrower, and authorized-contact snapshot.</w:t>
      </w:r>
    </w:p>
    <w:p>
      <w:pPr>
        <w:spacing w:after="60"/>
      </w:pPr>
      <w:r>
        <w:rPr>
          <w:b/>
          <w:color w:val="B89C6A"/>
        </w:rPr>
        <w:t xml:space="preserve">☐ </w:t>
      </w:r>
      <w:r>
        <w:t>Build the notice inventory before entering dates in the master deadline sheet.</w:t>
      </w:r>
    </w:p>
    <w:p>
      <w:pPr>
        <w:spacing w:after="60"/>
      </w:pPr>
      <w:r>
        <w:rPr>
          <w:b/>
          <w:color w:val="B89C6A"/>
        </w:rPr>
        <w:t xml:space="preserve">☐ </w:t>
      </w:r>
      <w:r>
        <w:t>Separate servicer deadlines from court, mediation, and sheriff deadlines.</w:t>
      </w:r>
    </w:p>
    <w:p>
      <w:pPr>
        <w:spacing w:after="60"/>
      </w:pPr>
      <w:r>
        <w:rPr>
          <w:b/>
          <w:color w:val="B89C6A"/>
        </w:rPr>
        <w:t xml:space="preserve">☐ </w:t>
      </w:r>
      <w:r>
        <w:t>Track loss-mitigation documents by submission, receipt, completeness, and decision status.</w:t>
      </w:r>
    </w:p>
    <w:p>
      <w:pPr>
        <w:spacing w:after="60"/>
      </w:pPr>
      <w:r>
        <w:rPr>
          <w:b/>
          <w:color w:val="B89C6A"/>
        </w:rPr>
        <w:t xml:space="preserve">☐ </w:t>
      </w:r>
      <w:r>
        <w:t>Assign one owner and one proof item to every urgent action.</w:t>
      </w:r>
    </w:p>
    <w:p>
      <w:pPr>
        <w:spacing w:after="60"/>
      </w:pPr>
      <w:r>
        <w:rPr>
          <w:b/>
          <w:color w:val="B89C6A"/>
        </w:rPr>
        <w:t xml:space="preserve">☐ </w:t>
      </w:r>
      <w:r>
        <w:t>Recheck dates whenever a sale, hearing, conference, or document request changes.</w:t>
      </w:r>
    </w:p>
    <w:p>
      <w:pPr>
        <w:pStyle w:val="Heading2"/>
      </w:pPr>
      <w:r>
        <w:rPr>
          <w:rFonts w:ascii="Cormorant Garamond" w:hAnsi="Cormorant Garamond"/>
          <w:color w:val="0F1F38"/>
        </w:rPr>
        <w:t>Important timing rule</w:t>
      </w:r>
    </w:p>
    <w:p>
      <w:pPr>
        <w:spacing w:after="60"/>
      </w:pPr>
      <w:r>
        <w:rPr>
          <w:b/>
          <w:color w:val="B89C6A"/>
        </w:rPr>
        <w:t xml:space="preserve">☐ </w:t>
      </w:r>
      <w:r>
        <w:t>General legal and servicing timeframes are educational reference points, not a calculation of your deadline.</w:t>
      </w:r>
    </w:p>
    <w:p>
      <w:pPr>
        <w:spacing w:after="60"/>
      </w:pPr>
      <w:r>
        <w:rPr>
          <w:b/>
          <w:color w:val="B89C6A"/>
        </w:rPr>
        <w:t xml:space="preserve">☐ </w:t>
      </w:r>
      <w:r>
        <w:t>Count from the event required by the controlling notice or rule, which may be mailing, receipt, service, filing, entry, or sale date.</w:t>
      </w:r>
    </w:p>
    <w:p>
      <w:pPr>
        <w:spacing w:after="60"/>
      </w:pPr>
      <w:r>
        <w:rPr>
          <w:b/>
          <w:color w:val="B89C6A"/>
        </w:rPr>
        <w:t xml:space="preserve">☐ </w:t>
      </w:r>
      <w:r>
        <w:t>Ask a New Jersey attorney or qualified housing counselor to review uncertain or disputed dates.</w:t>
      </w:r>
    </w:p>
    <w:p>
      <w:r>
        <w:br w:type="page"/>
      </w:r>
    </w:p>
    <w:p>
      <w:pPr>
        <w:pStyle w:val="Heading1"/>
      </w:pPr>
      <w:r>
        <w:rPr>
          <w:rFonts w:ascii="Cormorant Garamond" w:hAnsi="Cormorant Garamond"/>
          <w:color w:val="0F1F38"/>
        </w:rPr>
        <w:t>Table of Contents</w:t>
      </w:r>
    </w:p>
    <w:p>
      <w:r>
        <w:t>Use the section names below to move through the workbook. The PDF entries are clickable.</w:t>
      </w:r>
    </w:p>
    <w:tbl>
      <w:tblPr>
        <w:tblStyle w:val="TableGrid"/>
        <w:tblW w:type="auto" w:w="0"/>
        <w:tblLook w:firstColumn="1" w:firstRow="1" w:lastColumn="0" w:lastRow="0" w:noHBand="0" w:noVBand="1" w:val="04A0"/>
      </w:tblPr>
      <w:tblGrid>
        <w:gridCol w:w="5112"/>
        <w:gridCol w:w="5112"/>
      </w:tblGrid>
      <w:tr>
        <w:tc>
          <w:tcPr>
            <w:tcW w:type="dxa" w:w="5112"/>
          </w:tcPr>
          <w:p>
            <w:r>
              <w:t>Section</w:t>
            </w:r>
          </w:p>
        </w:tc>
        <w:tc>
          <w:tcPr>
            <w:tcW w:type="dxa" w:w="5112"/>
          </w:tcPr>
          <w:p>
            <w:r>
              <w:t>Page</w:t>
            </w:r>
          </w:p>
        </w:tc>
      </w:tr>
      <w:tr>
        <w:tc>
          <w:tcPr>
            <w:tcW w:type="dxa" w:w="5112"/>
          </w:tcPr>
          <w:p>
            <w:r>
              <w:t>Foreclosure Deadline Overview</w:t>
            </w:r>
          </w:p>
        </w:tc>
        <w:tc>
          <w:tcPr>
            <w:tcW w:type="dxa" w:w="5112"/>
          </w:tcPr>
          <w:p>
            <w:r>
              <w:t>6</w:t>
            </w:r>
          </w:p>
        </w:tc>
      </w:tr>
      <w:tr>
        <w:tc>
          <w:tcPr>
            <w:tcW w:type="dxa" w:w="5112"/>
          </w:tcPr>
          <w:p>
            <w:r>
              <w:t>Loan, Borrower, and Property Snapshot</w:t>
            </w:r>
          </w:p>
        </w:tc>
        <w:tc>
          <w:tcPr>
            <w:tcW w:type="dxa" w:w="5112"/>
          </w:tcPr>
          <w:p>
            <w:r>
              <w:t>7</w:t>
            </w:r>
          </w:p>
        </w:tc>
      </w:tr>
      <w:tr>
        <w:tc>
          <w:tcPr>
            <w:tcW w:type="dxa" w:w="5112"/>
          </w:tcPr>
          <w:p>
            <w:r>
              <w:t>Notice and Service Inventory</w:t>
            </w:r>
          </w:p>
        </w:tc>
        <w:tc>
          <w:tcPr>
            <w:tcW w:type="dxa" w:w="5112"/>
          </w:tcPr>
          <w:p>
            <w:r>
              <w:t>8</w:t>
            </w:r>
          </w:p>
        </w:tc>
      </w:tr>
      <w:tr>
        <w:tc>
          <w:tcPr>
            <w:tcW w:type="dxa" w:w="5112"/>
          </w:tcPr>
          <w:p>
            <w:r>
              <w:t>Master Deadline Control Sheet</w:t>
            </w:r>
          </w:p>
        </w:tc>
        <w:tc>
          <w:tcPr>
            <w:tcW w:type="dxa" w:w="5112"/>
          </w:tcPr>
          <w:p>
            <w:r>
              <w:t>9</w:t>
            </w:r>
          </w:p>
        </w:tc>
      </w:tr>
      <w:tr>
        <w:tc>
          <w:tcPr>
            <w:tcW w:type="dxa" w:w="5112"/>
          </w:tcPr>
          <w:p>
            <w:r>
              <w:t>Servicer Communication Log</w:t>
            </w:r>
          </w:p>
        </w:tc>
        <w:tc>
          <w:tcPr>
            <w:tcW w:type="dxa" w:w="5112"/>
          </w:tcPr>
          <w:p>
            <w:r>
              <w:t>10</w:t>
            </w:r>
          </w:p>
        </w:tc>
      </w:tr>
      <w:tr>
        <w:tc>
          <w:tcPr>
            <w:tcW w:type="dxa" w:w="5112"/>
          </w:tcPr>
          <w:p>
            <w:r>
              <w:t>Notice of Intention Review</w:t>
            </w:r>
          </w:p>
        </w:tc>
        <w:tc>
          <w:tcPr>
            <w:tcW w:type="dxa" w:w="5112"/>
          </w:tcPr>
          <w:p>
            <w:r>
              <w:t>11</w:t>
            </w:r>
          </w:p>
        </w:tc>
      </w:tr>
      <w:tr>
        <w:tc>
          <w:tcPr>
            <w:tcW w:type="dxa" w:w="5112"/>
          </w:tcPr>
          <w:p>
            <w:r>
              <w:t>Loss-Mitigation Submission Tracker</w:t>
            </w:r>
          </w:p>
        </w:tc>
        <w:tc>
          <w:tcPr>
            <w:tcW w:type="dxa" w:w="5112"/>
          </w:tcPr>
          <w:p>
            <w:r>
              <w:t>12</w:t>
            </w:r>
          </w:p>
        </w:tc>
      </w:tr>
      <w:tr>
        <w:tc>
          <w:tcPr>
            <w:tcW w:type="dxa" w:w="5112"/>
          </w:tcPr>
          <w:p>
            <w:r>
              <w:t>Loss-Mitigation Timing Worksheet</w:t>
            </w:r>
          </w:p>
        </w:tc>
        <w:tc>
          <w:tcPr>
            <w:tcW w:type="dxa" w:w="5112"/>
          </w:tcPr>
          <w:p>
            <w:r>
              <w:t>13</w:t>
            </w:r>
          </w:p>
        </w:tc>
      </w:tr>
      <w:tr>
        <w:tc>
          <w:tcPr>
            <w:tcW w:type="dxa" w:w="5112"/>
          </w:tcPr>
          <w:p>
            <w:r>
              <w:t>New Jersey Court Stage Tracker</w:t>
            </w:r>
          </w:p>
        </w:tc>
        <w:tc>
          <w:tcPr>
            <w:tcW w:type="dxa" w:w="5112"/>
          </w:tcPr>
          <w:p>
            <w:r>
              <w:t>14</w:t>
            </w:r>
          </w:p>
        </w:tc>
      </w:tr>
      <w:tr>
        <w:tc>
          <w:tcPr>
            <w:tcW w:type="dxa" w:w="5112"/>
          </w:tcPr>
          <w:p>
            <w:r>
              <w:t>Court Filing and Response Log</w:t>
            </w:r>
          </w:p>
        </w:tc>
        <w:tc>
          <w:tcPr>
            <w:tcW w:type="dxa" w:w="5112"/>
          </w:tcPr>
          <w:p>
            <w:r>
              <w:t>15</w:t>
            </w:r>
          </w:p>
        </w:tc>
      </w:tr>
      <w:tr>
        <w:tc>
          <w:tcPr>
            <w:tcW w:type="dxa" w:w="5112"/>
          </w:tcPr>
          <w:p>
            <w:r>
              <w:t>Mediation and Housing Counselor Log</w:t>
            </w:r>
          </w:p>
        </w:tc>
        <w:tc>
          <w:tcPr>
            <w:tcW w:type="dxa" w:w="5112"/>
          </w:tcPr>
          <w:p>
            <w:r>
              <w:t>16</w:t>
            </w:r>
          </w:p>
        </w:tc>
      </w:tr>
      <w:tr>
        <w:tc>
          <w:tcPr>
            <w:tcW w:type="dxa" w:w="5112"/>
          </w:tcPr>
          <w:p>
            <w:r>
              <w:t>Judgment and Sheriff Sale Tracker</w:t>
            </w:r>
          </w:p>
        </w:tc>
        <w:tc>
          <w:tcPr>
            <w:tcW w:type="dxa" w:w="5112"/>
          </w:tcPr>
          <w:p>
            <w:r>
              <w:t>17</w:t>
            </w:r>
          </w:p>
        </w:tc>
      </w:tr>
      <w:tr>
        <w:tc>
          <w:tcPr>
            <w:tcW w:type="dxa" w:w="5112"/>
          </w:tcPr>
          <w:p>
            <w:r>
              <w:t>Resolution Option Comparison</w:t>
            </w:r>
          </w:p>
        </w:tc>
        <w:tc>
          <w:tcPr>
            <w:tcW w:type="dxa" w:w="5112"/>
          </w:tcPr>
          <w:p>
            <w:r>
              <w:t>18</w:t>
            </w:r>
          </w:p>
        </w:tc>
      </w:tr>
      <w:tr>
        <w:tc>
          <w:tcPr>
            <w:tcW w:type="dxa" w:w="5112"/>
          </w:tcPr>
          <w:p>
            <w:r>
              <w:t>14-Day Emergency Action Plan</w:t>
            </w:r>
          </w:p>
        </w:tc>
        <w:tc>
          <w:tcPr>
            <w:tcW w:type="dxa" w:w="5112"/>
          </w:tcPr>
          <w:p>
            <w:r>
              <w:t>19</w:t>
            </w:r>
          </w:p>
        </w:tc>
      </w:tr>
      <w:tr>
        <w:tc>
          <w:tcPr>
            <w:tcW w:type="dxa" w:w="5112"/>
          </w:tcPr>
          <w:p>
            <w:r>
              <w:t>Common Deadline Mistakes</w:t>
            </w:r>
          </w:p>
        </w:tc>
        <w:tc>
          <w:tcPr>
            <w:tcW w:type="dxa" w:w="5112"/>
          </w:tcPr>
          <w:p>
            <w:r>
              <w:t>20</w:t>
            </w:r>
          </w:p>
        </w:tc>
      </w:tr>
      <w:tr>
        <w:tc>
          <w:tcPr>
            <w:tcW w:type="dxa" w:w="5112"/>
          </w:tcPr>
          <w:p>
            <w:r>
              <w:t>Frequently Asked Questions</w:t>
            </w:r>
          </w:p>
        </w:tc>
        <w:tc>
          <w:tcPr>
            <w:tcW w:type="dxa" w:w="5112"/>
          </w:tcPr>
          <w:p>
            <w:r>
              <w:t>21</w:t>
            </w:r>
          </w:p>
        </w:tc>
      </w:tr>
      <w:tr>
        <w:tc>
          <w:tcPr>
            <w:tcW w:type="dxa" w:w="5112"/>
          </w:tcPr>
          <w:p>
            <w:r>
              <w:t>Official Resources</w:t>
            </w:r>
          </w:p>
        </w:tc>
        <w:tc>
          <w:tcPr>
            <w:tcW w:type="dxa" w:w="5112"/>
          </w:tcPr>
          <w:p>
            <w:r>
              <w:t>22</w:t>
            </w:r>
          </w:p>
        </w:tc>
      </w:tr>
      <w:tr>
        <w:tc>
          <w:tcPr>
            <w:tcW w:type="dxa" w:w="5112"/>
          </w:tcPr>
          <w:p>
            <w:r>
              <w:t>Talk With Ray</w:t>
            </w:r>
          </w:p>
        </w:tc>
        <w:tc>
          <w:tcPr>
            <w:tcW w:type="dxa" w:w="5112"/>
          </w:tcPr>
          <w:p>
            <w:r>
              <w:t>23</w:t>
            </w:r>
          </w:p>
        </w:tc>
      </w:tr>
      <w:tr>
        <w:tc>
          <w:tcPr>
            <w:tcW w:type="dxa" w:w="5112"/>
          </w:tcPr>
          <w:p>
            <w:r>
              <w:t>Notes</w:t>
            </w:r>
          </w:p>
        </w:tc>
        <w:tc>
          <w:tcPr>
            <w:tcW w:type="dxa" w:w="5112"/>
          </w:tcPr>
          <w:p>
            <w:r>
              <w:t>24-26</w:t>
            </w:r>
          </w:p>
        </w:tc>
      </w:tr>
      <w:tr>
        <w:tc>
          <w:tcPr>
            <w:tcW w:type="dxa" w:w="5112"/>
          </w:tcPr>
          <w:p>
            <w:r>
              <w:t>Educational Disclaimer</w:t>
            </w:r>
          </w:p>
        </w:tc>
        <w:tc>
          <w:tcPr>
            <w:tcW w:type="dxa" w:w="5112"/>
          </w:tcPr>
          <w:p>
            <w:r>
              <w:t>27</w:t>
            </w:r>
          </w:p>
        </w:tc>
      </w:tr>
    </w:tbl>
    <w:p/>
    <w:p>
      <w:r>
        <w:br w:type="page"/>
      </w:r>
    </w:p>
    <w:p>
      <w:pPr>
        <w:pStyle w:val="Heading1"/>
      </w:pPr>
      <w:r>
        <w:rPr>
          <w:rFonts w:ascii="Cormorant Garamond" w:hAnsi="Cormorant Garamond"/>
          <w:color w:val="0F1F38"/>
        </w:rPr>
        <w:t>Foreclosure Deadline Overview</w:t>
      </w:r>
    </w:p>
    <w:p>
      <w:r>
        <w:t>New Jersey uses a judicial foreclosure process. A typical file may include pre-filing notices, a Superior Court complaint, response opportunities, default or contested proceedings, final judgment, a writ, and a county sheriff sale.</w:t>
      </w:r>
    </w:p>
    <w:p>
      <w:r>
        <w:t>Federal mortgage-servicing rules may create separate milestones for certain loss-mitigation applications. Coverage and protections depend on the loan, servicer, application status, timing, and other facts.</w:t>
      </w:r>
    </w:p>
    <w:p>
      <w:pPr>
        <w:pStyle w:val="Heading2"/>
      </w:pPr>
      <w:r>
        <w:rPr>
          <w:rFonts w:ascii="Cormorant Garamond" w:hAnsi="Cormorant Garamond"/>
          <w:color w:val="0F1F38"/>
        </w:rPr>
        <w:t>Dates commonly worth tracking</w:t>
      </w:r>
    </w:p>
    <w:p>
      <w:pPr>
        <w:spacing w:after="60"/>
      </w:pPr>
      <w:r>
        <w:rPr>
          <w:b/>
          <w:color w:val="B89C6A"/>
        </w:rPr>
        <w:t xml:space="preserve">☐ </w:t>
      </w:r>
      <w:r>
        <w:t>Notice date, mailing date, received date, and any cure or response date printed in the notice.</w:t>
      </w:r>
    </w:p>
    <w:p>
      <w:pPr>
        <w:spacing w:after="60"/>
      </w:pPr>
      <w:r>
        <w:rPr>
          <w:b/>
          <w:color w:val="B89C6A"/>
        </w:rPr>
        <w:t xml:space="preserve">☐ </w:t>
      </w:r>
      <w:r>
        <w:t>Complaint filing date, service date, answer date, mediation request date, and every court-ordered date.</w:t>
      </w:r>
    </w:p>
    <w:p>
      <w:pPr>
        <w:spacing w:after="60"/>
      </w:pPr>
      <w:r>
        <w:rPr>
          <w:b/>
          <w:color w:val="B89C6A"/>
        </w:rPr>
        <w:t xml:space="preserve">☐ </w:t>
      </w:r>
      <w:r>
        <w:t>Loss-mitigation upload or delivery date, acknowledgment date, missing-item date, completeness date, decision date, acceptance date, and appeal date.</w:t>
      </w:r>
    </w:p>
    <w:p>
      <w:pPr>
        <w:spacing w:after="60"/>
      </w:pPr>
      <w:r>
        <w:rPr>
          <w:b/>
          <w:color w:val="B89C6A"/>
        </w:rPr>
        <w:t xml:space="preserve">☐ </w:t>
      </w:r>
      <w:r>
        <w:t>Final judgment date, writ date, sheriff sale date, adjournment information, and any post-sale deadline identified by counsel.</w:t>
      </w:r>
    </w:p>
    <w:p>
      <w:pPr>
        <w:pStyle w:val="Heading2"/>
      </w:pPr>
      <w:r>
        <w:rPr>
          <w:rFonts w:ascii="Cormorant Garamond" w:hAnsi="Cormorant Garamond"/>
          <w:color w:val="0F1F38"/>
        </w:rPr>
        <w:t>Reference points to verify</w:t>
      </w:r>
    </w:p>
    <w:p>
      <w:pPr>
        <w:spacing w:after="60"/>
      </w:pPr>
      <w:r>
        <w:rPr>
          <w:b/>
          <w:color w:val="B89C6A"/>
        </w:rPr>
        <w:t xml:space="preserve">☐ </w:t>
      </w:r>
      <w:r>
        <w:t>New Jersey's Fair Foreclosure Act generally requires a Notice of Intention at least 30 days before a residential foreclosure action is started.</w:t>
      </w:r>
    </w:p>
    <w:p>
      <w:pPr>
        <w:spacing w:after="60"/>
      </w:pPr>
      <w:r>
        <w:rPr>
          <w:b/>
          <w:color w:val="B89C6A"/>
        </w:rPr>
        <w:t xml:space="preserve">☐ </w:t>
      </w:r>
      <w:r>
        <w:t>New Jersey court materials commonly identify 35 days after service of a foreclosure complaint for filing an answer, but service details and case circumstances must be reviewed.</w:t>
      </w:r>
    </w:p>
    <w:p>
      <w:pPr>
        <w:spacing w:after="60"/>
      </w:pPr>
      <w:r>
        <w:rPr>
          <w:b/>
          <w:color w:val="B89C6A"/>
        </w:rPr>
        <w:t xml:space="preserve">☐ </w:t>
      </w:r>
      <w:r>
        <w:t>Federal servicing rules include timing thresholds tied to 45 days, 37 days, 30 days, and a foreclosure sale; confirm which provisions apply to the specific loan and application.</w:t>
      </w:r>
    </w:p>
    <w:p>
      <w:pPr>
        <w:spacing w:after="60"/>
      </w:pPr>
      <w:r>
        <w:rPr>
          <w:b/>
          <w:color w:val="B89C6A"/>
        </w:rPr>
        <w:t xml:space="preserve">☐ </w:t>
      </w:r>
      <w:r>
        <w:t>A pending conversation, application, listing, or sale plan does not by itself replace a court response or stop a scheduled sale.</w:t>
      </w:r>
    </w:p>
    <w:p>
      <w:r>
        <w:br w:type="page"/>
      </w:r>
    </w:p>
    <w:p>
      <w:pPr>
        <w:pStyle w:val="Heading1"/>
      </w:pPr>
      <w:r>
        <w:rPr>
          <w:rFonts w:ascii="Cormorant Garamond" w:hAnsi="Cormorant Garamond"/>
          <w:color w:val="0F1F38"/>
        </w:rPr>
        <w:t>Loan, Borrower, and Property Snapshot</w:t>
      </w:r>
    </w:p>
    <w:p>
      <w:r>
        <w:t>Copy facts from current statements, recorded documents, insurance records, tax records, and court papers.</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County</w:t>
              <w:br/>
              <w:br/>
            </w:r>
          </w:p>
        </w:tc>
      </w:tr>
      <w:tr>
        <w:tc>
          <w:tcPr>
            <w:tcW w:type="dxa" w:w="5112"/>
          </w:tcPr>
          <w:p>
            <w:r>
              <w:t>Borrower name(s)</w:t>
              <w:br/>
              <w:br/>
            </w:r>
          </w:p>
        </w:tc>
        <w:tc>
          <w:tcPr>
            <w:tcW w:type="dxa" w:w="5112"/>
          </w:tcPr>
          <w:p>
            <w:r>
              <w:t>Occupancy status</w:t>
              <w:br/>
              <w:br/>
            </w:r>
          </w:p>
        </w:tc>
      </w:tr>
      <w:tr>
        <w:tc>
          <w:tcPr>
            <w:tcW w:type="dxa" w:w="5112"/>
          </w:tcPr>
          <w:p>
            <w:r>
              <w:t>Servicer</w:t>
              <w:br/>
              <w:br/>
            </w:r>
          </w:p>
        </w:tc>
        <w:tc>
          <w:tcPr>
            <w:tcW w:type="dxa" w:w="5112"/>
          </w:tcPr>
          <w:p>
            <w:r>
              <w:t>Loan number (last four)</w:t>
              <w:br/>
              <w:br/>
            </w:r>
          </w:p>
        </w:tc>
      </w:tr>
      <w:tr>
        <w:tc>
          <w:tcPr>
            <w:tcW w:type="dxa" w:w="5112"/>
          </w:tcPr>
          <w:p>
            <w:r>
              <w:t>Monthly payment</w:t>
              <w:br/>
              <w:br/>
            </w:r>
          </w:p>
        </w:tc>
        <w:tc>
          <w:tcPr>
            <w:tcW w:type="dxa" w:w="5112"/>
          </w:tcPr>
          <w:p>
            <w:r>
              <w:t>Estimated arrears</w:t>
              <w:br/>
              <w:br/>
            </w:r>
          </w:p>
        </w:tc>
      </w:tr>
      <w:tr>
        <w:tc>
          <w:tcPr>
            <w:tcW w:type="dxa" w:w="5112"/>
          </w:tcPr>
          <w:p>
            <w:r>
              <w:t>Foreclosure law firm</w:t>
              <w:br/>
              <w:br/>
            </w:r>
          </w:p>
        </w:tc>
        <w:tc>
          <w:tcPr>
            <w:tcW w:type="dxa" w:w="5112"/>
          </w:tcPr>
          <w:p>
            <w:r>
              <w:t>Court docket number</w:t>
              <w:br/>
              <w:br/>
            </w:r>
          </w:p>
        </w:tc>
      </w:tr>
      <w:tr>
        <w:tc>
          <w:tcPr>
            <w:tcW w:type="dxa" w:w="5112"/>
          </w:tcPr>
          <w:p>
            <w:r>
              <w:t>Authorized contact</w:t>
              <w:br/>
              <w:br/>
            </w:r>
          </w:p>
        </w:tc>
        <w:tc>
          <w:tcPr>
            <w:tcW w:type="dxa" w:w="5112"/>
          </w:tcPr>
          <w:p>
            <w:r>
              <w:t>Attorney / counselor</w:t>
              <w:br/>
              <w:br/>
            </w:r>
          </w:p>
        </w:tc>
      </w:tr>
    </w:tbl>
    <w:p/>
    <w:tbl>
      <w:tblPr>
        <w:tblStyle w:val="TableGrid"/>
        <w:tblW w:type="auto" w:w="0"/>
        <w:tblLook w:firstColumn="1" w:firstRow="1" w:lastColumn="0" w:lastRow="0" w:noHBand="0" w:noVBand="1" w:val="04A0"/>
      </w:tblPr>
      <w:tblGrid>
        <w:gridCol w:w="10224"/>
      </w:tblGrid>
      <w:tr>
        <w:tc>
          <w:tcPr>
            <w:tcW w:type="dxa" w:w="10224"/>
          </w:tcPr>
          <w:p>
            <w:r>
              <w:t>Current delinquency facts</w:t>
              <w:br/>
              <w:br/>
            </w:r>
          </w:p>
        </w:tc>
      </w:tr>
    </w:tbl>
    <w:p/>
    <w:tbl>
      <w:tblPr>
        <w:tblStyle w:val="TableGrid"/>
        <w:tblW w:type="auto" w:w="0"/>
        <w:tblLook w:firstColumn="1" w:firstRow="1" w:lastColumn="0" w:lastRow="0" w:noHBand="0" w:noVBand="1" w:val="04A0"/>
      </w:tblPr>
      <w:tblGrid>
        <w:gridCol w:w="10224"/>
      </w:tblGrid>
      <w:tr>
        <w:tc>
          <w:tcPr>
            <w:tcW w:type="dxa" w:w="10224"/>
          </w:tcPr>
          <w:p>
            <w:r>
              <w:t>Immediate property or insurance risks</w:t>
              <w:br/>
              <w:br/>
            </w:r>
          </w:p>
        </w:tc>
      </w:tr>
    </w:tbl>
    <w:p/>
    <w:tbl>
      <w:tblPr>
        <w:tblStyle w:val="TableGrid"/>
        <w:tblW w:type="auto" w:w="0"/>
        <w:tblLook w:firstColumn="1" w:firstRow="1" w:lastColumn="0" w:lastRow="0" w:noHBand="0" w:noVBand="1" w:val="04A0"/>
      </w:tblPr>
      <w:tblGrid>
        <w:gridCol w:w="10224"/>
      </w:tblGrid>
      <w:tr>
        <w:tc>
          <w:tcPr>
            <w:tcW w:type="dxa" w:w="10224"/>
          </w:tcPr>
          <w:p>
            <w:r>
              <w:t>Names or authority requiring verification</w:t>
              <w:br/>
              <w:br/>
            </w:r>
          </w:p>
        </w:tc>
      </w:tr>
    </w:tbl>
    <w:p/>
    <w:p>
      <w:r>
        <w:br w:type="page"/>
      </w:r>
    </w:p>
    <w:p>
      <w:pPr>
        <w:pStyle w:val="Heading1"/>
      </w:pPr>
      <w:r>
        <w:rPr>
          <w:rFonts w:ascii="Cormorant Garamond" w:hAnsi="Cormorant Garamond"/>
          <w:color w:val="0F1F38"/>
        </w:rPr>
        <w:t>Notice and Service Inventory</w:t>
      </w:r>
    </w:p>
    <w:p>
      <w:r>
        <w:t>List every notice separately. Keep the envelope, service papers, attachments, and delivery proof with the notice.</w:t>
      </w:r>
    </w:p>
    <w:tbl>
      <w:tblPr>
        <w:tblStyle w:val="TableGrid"/>
        <w:tblW w:type="auto" w:w="0"/>
        <w:tblLook w:firstColumn="1" w:firstRow="1" w:lastColumn="0" w:lastRow="0" w:noHBand="0" w:noVBand="1" w:val="04A0"/>
      </w:tblPr>
      <w:tblGrid>
        <w:gridCol w:w="5112"/>
        <w:gridCol w:w="5112"/>
      </w:tblGrid>
      <w:tr>
        <w:tc>
          <w:tcPr>
            <w:tcW w:type="dxa" w:w="5112"/>
          </w:tcPr>
          <w:p>
            <w:r>
              <w:t>Earliest unresolved notice</w:t>
              <w:br/>
              <w:br/>
            </w:r>
          </w:p>
        </w:tc>
        <w:tc>
          <w:tcPr>
            <w:tcW w:type="dxa" w:w="5112"/>
          </w:tcPr>
          <w:p>
            <w:r>
              <w:t>Newest court document</w:t>
              <w:br/>
              <w:br/>
            </w:r>
          </w:p>
        </w:tc>
      </w:tr>
      <w:tr>
        <w:tc>
          <w:tcPr>
            <w:tcW w:type="dxa" w:w="5112"/>
          </w:tcPr>
          <w:p>
            <w:r>
              <w:t>Service method to verify</w:t>
              <w:br/>
              <w:br/>
            </w:r>
          </w:p>
        </w:tc>
        <w:tc>
          <w:tcPr>
            <w:tcW w:type="dxa" w:w="5112"/>
          </w:tcPr>
          <w:p>
            <w:r>
              <w:t>Person reviewing file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Document</w:t>
            </w:r>
          </w:p>
        </w:tc>
        <w:tc>
          <w:tcPr>
            <w:tcW w:type="dxa" w:w="2045"/>
          </w:tcPr>
          <w:p>
            <w:r>
              <w:t>Dated</w:t>
            </w:r>
          </w:p>
        </w:tc>
        <w:tc>
          <w:tcPr>
            <w:tcW w:type="dxa" w:w="2045"/>
          </w:tcPr>
          <w:p>
            <w:r>
              <w:t>Received / served</w:t>
            </w:r>
          </w:p>
        </w:tc>
        <w:tc>
          <w:tcPr>
            <w:tcW w:type="dxa" w:w="2045"/>
          </w:tcPr>
          <w:p>
            <w:r>
              <w:t>Deadline shown</w:t>
            </w:r>
          </w:p>
        </w:tc>
        <w:tc>
          <w:tcPr>
            <w:tcW w:type="dxa" w:w="2045"/>
          </w:tcPr>
          <w:p>
            <w:r>
              <w:t>Saved at</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Master Deadline Control Sheet</w:t>
      </w:r>
    </w:p>
    <w:p>
      <w:r>
        <w:t>Enter the source for each date. Use a new row when a deadline changes, an adjournment occurs, or a new document creates another response date.</w:t>
      </w:r>
    </w:p>
    <w:tbl>
      <w:tblPr>
        <w:tblStyle w:val="TableGrid"/>
        <w:tblW w:type="auto" w:w="0"/>
        <w:tblLook w:firstColumn="1" w:firstRow="1" w:lastColumn="0" w:lastRow="0" w:noHBand="0" w:noVBand="1" w:val="04A0"/>
      </w:tblPr>
      <w:tblGrid>
        <w:gridCol w:w="5112"/>
        <w:gridCol w:w="5112"/>
      </w:tblGrid>
      <w:tr>
        <w:tc>
          <w:tcPr>
            <w:tcW w:type="dxa" w:w="5112"/>
          </w:tcPr>
          <w:p>
            <w:r>
              <w:t>Next hard deadline</w:t>
              <w:br/>
              <w:br/>
            </w:r>
          </w:p>
        </w:tc>
        <w:tc>
          <w:tcPr>
            <w:tcW w:type="dxa" w:w="5112"/>
          </w:tcPr>
          <w:p>
            <w:r>
              <w:t>Days remaining</w:t>
              <w:br/>
              <w:br/>
            </w:r>
          </w:p>
        </w:tc>
      </w:tr>
      <w:tr>
        <w:tc>
          <w:tcPr>
            <w:tcW w:type="dxa" w:w="5112"/>
          </w:tcPr>
          <w:p>
            <w:r>
              <w:t>Date confirmed</w:t>
              <w:br/>
              <w:br/>
            </w:r>
          </w:p>
        </w:tc>
        <w:tc>
          <w:tcPr>
            <w:tcW w:type="dxa" w:w="5112"/>
          </w:tcPr>
          <w:p>
            <w:r>
              <w:t>Confirmed by / proof saved</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Deadline / event</w:t>
            </w:r>
          </w:p>
        </w:tc>
        <w:tc>
          <w:tcPr>
            <w:tcW w:type="dxa" w:w="2045"/>
          </w:tcPr>
          <w:p>
            <w:r>
              <w:t>Controlling source</w:t>
            </w:r>
          </w:p>
        </w:tc>
        <w:tc>
          <w:tcPr>
            <w:tcW w:type="dxa" w:w="2045"/>
          </w:tcPr>
          <w:p>
            <w:r>
              <w:t>Due date</w:t>
            </w:r>
          </w:p>
        </w:tc>
        <w:tc>
          <w:tcPr>
            <w:tcW w:type="dxa" w:w="2045"/>
          </w:tcPr>
          <w:p>
            <w:r>
              <w:t>Owner</w:t>
            </w:r>
          </w:p>
        </w:tc>
        <w:tc>
          <w:tcPr>
            <w:tcW w:type="dxa" w:w="2045"/>
          </w:tcPr>
          <w:p>
            <w:r>
              <w:t>Status</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Servicer Communication Log</w:t>
      </w:r>
    </w:p>
    <w:p>
      <w:r>
        <w:t>After each call, save the representative's name, reference number, requested documents, stated dates, and promised follow-up. Confirm important points in writing.</w:t>
      </w:r>
    </w:p>
    <w:tbl>
      <w:tblPr>
        <w:tblStyle w:val="TableGrid"/>
        <w:tblW w:type="auto" w:w="0"/>
        <w:tblLook w:firstColumn="1" w:firstRow="1" w:lastColumn="0" w:lastRow="0" w:noHBand="0" w:noVBand="1" w:val="04A0"/>
      </w:tblPr>
      <w:tblGrid>
        <w:gridCol w:w="5112"/>
        <w:gridCol w:w="5112"/>
      </w:tblGrid>
      <w:tr>
        <w:tc>
          <w:tcPr>
            <w:tcW w:type="dxa" w:w="5112"/>
          </w:tcPr>
          <w:p>
            <w:r>
              <w:t>Single point of contact</w:t>
              <w:br/>
              <w:br/>
            </w:r>
          </w:p>
        </w:tc>
        <w:tc>
          <w:tcPr>
            <w:tcW w:type="dxa" w:w="5112"/>
          </w:tcPr>
          <w:p>
            <w:r>
              <w:t>Preferred upload / delivery method</w:t>
              <w:br/>
              <w:br/>
            </w:r>
          </w:p>
        </w:tc>
      </w:tr>
      <w:tr>
        <w:tc>
          <w:tcPr>
            <w:tcW w:type="dxa" w:w="5112"/>
          </w:tcPr>
          <w:p>
            <w:r>
              <w:t>Escalation contact</w:t>
              <w:br/>
              <w:br/>
            </w:r>
          </w:p>
        </w:tc>
        <w:tc>
          <w:tcPr>
            <w:tcW w:type="dxa" w:w="5112"/>
          </w:tcPr>
          <w:p>
            <w:r>
              <w:t>Next scheduled check-in</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 / time</w:t>
            </w:r>
          </w:p>
        </w:tc>
        <w:tc>
          <w:tcPr>
            <w:tcW w:type="dxa" w:w="2045"/>
          </w:tcPr>
          <w:p>
            <w:r>
              <w:t>Representative</w:t>
            </w:r>
          </w:p>
        </w:tc>
        <w:tc>
          <w:tcPr>
            <w:tcW w:type="dxa" w:w="2045"/>
          </w:tcPr>
          <w:p>
            <w:r>
              <w:t>Reference</w:t>
            </w:r>
          </w:p>
        </w:tc>
        <w:tc>
          <w:tcPr>
            <w:tcW w:type="dxa" w:w="2045"/>
          </w:tcPr>
          <w:p>
            <w:r>
              <w:t>Summary</w:t>
            </w:r>
          </w:p>
        </w:tc>
        <w:tc>
          <w:tcPr>
            <w:tcW w:type="dxa" w:w="2045"/>
          </w:tcPr>
          <w:p>
            <w:r>
              <w:t>Follow-up</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Notice of Intention Review</w:t>
      </w:r>
    </w:p>
    <w:p>
      <w:r>
        <w:t>Use the actual Notice of Intention and obtain legal review for defects, disputed amounts, service questions, or an already-filed case.</w:t>
      </w:r>
    </w:p>
    <w:p>
      <w:pPr>
        <w:pStyle w:val="Heading2"/>
      </w:pPr>
      <w:r>
        <w:rPr>
          <w:rFonts w:ascii="Cormorant Garamond" w:hAnsi="Cormorant Garamond"/>
          <w:color w:val="0F1F38"/>
        </w:rPr>
        <w:t>Checklist</w:t>
      </w:r>
    </w:p>
    <w:p>
      <w:pPr>
        <w:spacing w:after="60"/>
      </w:pPr>
      <w:r>
        <w:rPr>
          <w:b/>
          <w:color w:val="B89C6A"/>
        </w:rPr>
        <w:t xml:space="preserve">☐ </w:t>
      </w:r>
      <w:r>
        <w:t>Borrower and property information match the loan records.</w:t>
      </w:r>
    </w:p>
    <w:p>
      <w:pPr>
        <w:spacing w:after="60"/>
      </w:pPr>
      <w:r>
        <w:rPr>
          <w:b/>
          <w:color w:val="B89C6A"/>
        </w:rPr>
        <w:t xml:space="preserve">☐ </w:t>
      </w:r>
      <w:r>
        <w:t>Default and cure amount are stated and compared with current servicer figures.</w:t>
      </w:r>
    </w:p>
    <w:p>
      <w:pPr>
        <w:spacing w:after="60"/>
      </w:pPr>
      <w:r>
        <w:rPr>
          <w:b/>
          <w:color w:val="B89C6A"/>
        </w:rPr>
        <w:t xml:space="preserve">☐ </w:t>
      </w:r>
      <w:r>
        <w:t>The notice explains how to cure and where payment or communication should go.</w:t>
      </w:r>
    </w:p>
    <w:p>
      <w:pPr>
        <w:spacing w:after="60"/>
      </w:pPr>
      <w:r>
        <w:rPr>
          <w:b/>
          <w:color w:val="B89C6A"/>
        </w:rPr>
        <w:t xml:space="preserve">☐ </w:t>
      </w:r>
      <w:r>
        <w:t>The notice date, delivery evidence, and any later complaint filing date are preserved.</w:t>
      </w:r>
    </w:p>
    <w:p>
      <w:pPr>
        <w:spacing w:after="60"/>
      </w:pPr>
      <w:r>
        <w:rPr>
          <w:b/>
          <w:color w:val="B89C6A"/>
        </w:rPr>
        <w:t xml:space="preserve">☐ </w:t>
      </w:r>
      <w:r>
        <w:t>Any servicing error, payment dispute, bankruptcy, military-service issue, or successor-interest issue is flagged for professional review.</w:t>
      </w:r>
    </w:p>
    <w:tbl>
      <w:tblPr>
        <w:tblStyle w:val="TableGrid"/>
        <w:tblW w:type="auto" w:w="0"/>
        <w:tblLook w:firstColumn="1" w:firstRow="1" w:lastColumn="0" w:lastRow="0" w:noHBand="0" w:noVBand="1" w:val="04A0"/>
      </w:tblPr>
      <w:tblGrid>
        <w:gridCol w:w="5112"/>
        <w:gridCol w:w="5112"/>
      </w:tblGrid>
      <w:tr>
        <w:tc>
          <w:tcPr>
            <w:tcW w:type="dxa" w:w="5112"/>
          </w:tcPr>
          <w:p>
            <w:r>
              <w:t>Notice date</w:t>
              <w:br/>
              <w:br/>
            </w:r>
          </w:p>
        </w:tc>
        <w:tc>
          <w:tcPr>
            <w:tcW w:type="dxa" w:w="5112"/>
          </w:tcPr>
          <w:p>
            <w:r>
              <w:t>Mailing method</w:t>
              <w:br/>
              <w:br/>
            </w:r>
          </w:p>
        </w:tc>
      </w:tr>
      <w:tr>
        <w:tc>
          <w:tcPr>
            <w:tcW w:type="dxa" w:w="5112"/>
          </w:tcPr>
          <w:p>
            <w:r>
              <w:t>Received date</w:t>
              <w:br/>
              <w:br/>
            </w:r>
          </w:p>
        </w:tc>
        <w:tc>
          <w:tcPr>
            <w:tcW w:type="dxa" w:w="5112"/>
          </w:tcPr>
          <w:p>
            <w:r>
              <w:t>Amount stated to cure</w:t>
              <w:br/>
              <w:br/>
            </w:r>
          </w:p>
        </w:tc>
      </w:tr>
      <w:tr>
        <w:tc>
          <w:tcPr>
            <w:tcW w:type="dxa" w:w="5112"/>
          </w:tcPr>
          <w:p>
            <w:r>
              <w:t>Cure date shown</w:t>
              <w:br/>
              <w:br/>
            </w:r>
          </w:p>
        </w:tc>
        <w:tc>
          <w:tcPr>
            <w:tcW w:type="dxa" w:w="5112"/>
          </w:tcPr>
          <w:p>
            <w:r>
              <w:t>Servicer / lender named</w:t>
              <w:br/>
              <w:br/>
            </w:r>
          </w:p>
        </w:tc>
      </w:tr>
      <w:tr>
        <w:tc>
          <w:tcPr>
            <w:tcW w:type="dxa" w:w="5112"/>
          </w:tcPr>
          <w:p>
            <w:r>
              <w:t>Right-to-cure language located</w:t>
              <w:br/>
              <w:br/>
            </w:r>
          </w:p>
        </w:tc>
        <w:tc>
          <w:tcPr>
            <w:tcW w:type="dxa" w:w="5112"/>
          </w:tcPr>
          <w:p>
            <w:r>
              <w:t>Housing counselor information located</w:t>
              <w:br/>
              <w:br/>
            </w:r>
          </w:p>
        </w:tc>
      </w:tr>
      <w:tr>
        <w:tc>
          <w:tcPr>
            <w:tcW w:type="dxa" w:w="5112"/>
          </w:tcPr>
          <w:p>
            <w:r>
              <w:t>Disputed information</w:t>
              <w:br/>
              <w:br/>
            </w:r>
          </w:p>
        </w:tc>
        <w:tc>
          <w:tcPr>
            <w:tcW w:type="dxa" w:w="5112"/>
          </w:tcPr>
          <w:p>
            <w:r>
              <w:t>Attorney review date</w:t>
              <w:br/>
              <w:br/>
            </w:r>
          </w:p>
        </w:tc>
      </w:tr>
    </w:tbl>
    <w:p/>
    <w:p>
      <w:r>
        <w:br w:type="page"/>
      </w:r>
    </w:p>
    <w:p>
      <w:pPr>
        <w:pStyle w:val="Heading1"/>
      </w:pPr>
      <w:r>
        <w:rPr>
          <w:rFonts w:ascii="Cormorant Garamond" w:hAnsi="Cormorant Garamond"/>
          <w:color w:val="0F1F38"/>
        </w:rPr>
        <w:t>Loss-Mitigation Submission Tracker</w:t>
      </w:r>
    </w:p>
    <w:p>
      <w:r>
        <w:t>A document sent is not necessarily a complete application. Track the servicer's acknowledgment and every request for missing or updated information.</w:t>
      </w:r>
    </w:p>
    <w:tbl>
      <w:tblPr>
        <w:tblStyle w:val="TableGrid"/>
        <w:tblW w:type="auto" w:w="0"/>
        <w:tblLook w:firstColumn="1" w:firstRow="1" w:lastColumn="0" w:lastRow="0" w:noHBand="0" w:noVBand="1" w:val="04A0"/>
      </w:tblPr>
      <w:tblGrid>
        <w:gridCol w:w="5112"/>
        <w:gridCol w:w="5112"/>
      </w:tblGrid>
      <w:tr>
        <w:tc>
          <w:tcPr>
            <w:tcW w:type="dxa" w:w="5112"/>
          </w:tcPr>
          <w:p>
            <w:r>
              <w:t>Application first submitted</w:t>
              <w:br/>
              <w:br/>
            </w:r>
          </w:p>
        </w:tc>
        <w:tc>
          <w:tcPr>
            <w:tcW w:type="dxa" w:w="5112"/>
          </w:tcPr>
          <w:p>
            <w:r>
              <w:t>Acknowledgment received</w:t>
              <w:br/>
              <w:br/>
            </w:r>
          </w:p>
        </w:tc>
      </w:tr>
      <w:tr>
        <w:tc>
          <w:tcPr>
            <w:tcW w:type="dxa" w:w="5112"/>
          </w:tcPr>
          <w:p>
            <w:r>
              <w:t>Servicer says complete</w:t>
              <w:br/>
              <w:br/>
            </w:r>
          </w:p>
        </w:tc>
        <w:tc>
          <w:tcPr>
            <w:tcW w:type="dxa" w:w="5112"/>
          </w:tcPr>
          <w:p>
            <w:r>
              <w:t>Completeness confirmation saved</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Item</w:t>
            </w:r>
          </w:p>
        </w:tc>
        <w:tc>
          <w:tcPr>
            <w:tcW w:type="dxa" w:w="2045"/>
          </w:tcPr>
          <w:p>
            <w:r>
              <w:t>Sent</w:t>
            </w:r>
          </w:p>
        </w:tc>
        <w:tc>
          <w:tcPr>
            <w:tcW w:type="dxa" w:w="2045"/>
          </w:tcPr>
          <w:p>
            <w:r>
              <w:t>Delivery proof</w:t>
            </w:r>
          </w:p>
        </w:tc>
        <w:tc>
          <w:tcPr>
            <w:tcW w:type="dxa" w:w="2045"/>
          </w:tcPr>
          <w:p>
            <w:r>
              <w:t>Accepted / missing</w:t>
            </w:r>
          </w:p>
        </w:tc>
        <w:tc>
          <w:tcPr>
            <w:tcW w:type="dxa" w:w="2045"/>
          </w:tcPr>
          <w:p>
            <w:r>
              <w:t>Next date</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Loss-Mitigation Timing Worksheet</w:t>
      </w:r>
    </w:p>
    <w:p>
      <w:r>
        <w:t>Use this page with the current federal rule, the servicer's written notices, and professional guidance. Do not assume every threshold applies.</w:t>
      </w:r>
    </w:p>
    <w:tbl>
      <w:tblPr>
        <w:tblStyle w:val="TableGrid"/>
        <w:tblW w:type="auto" w:w="0"/>
        <w:tblLook w:firstColumn="1" w:firstRow="1" w:lastColumn="0" w:lastRow="0" w:noHBand="0" w:noVBand="1" w:val="04A0"/>
      </w:tblPr>
      <w:tblGrid>
        <w:gridCol w:w="5112"/>
        <w:gridCol w:w="5112"/>
      </w:tblGrid>
      <w:tr>
        <w:tc>
          <w:tcPr>
            <w:tcW w:type="dxa" w:w="5112"/>
          </w:tcPr>
          <w:p>
            <w:r>
              <w:t>Current sale date</w:t>
              <w:br/>
              <w:br/>
            </w:r>
          </w:p>
        </w:tc>
        <w:tc>
          <w:tcPr>
            <w:tcW w:type="dxa" w:w="5112"/>
          </w:tcPr>
          <w:p>
            <w:r>
              <w:t>Current application status</w:t>
              <w:br/>
              <w:br/>
            </w:r>
          </w:p>
        </w:tc>
      </w:tr>
      <w:tr>
        <w:tc>
          <w:tcPr>
            <w:tcW w:type="dxa" w:w="5112"/>
          </w:tcPr>
          <w:p>
            <w:r>
              <w:t>Servicer decision date</w:t>
              <w:br/>
              <w:br/>
            </w:r>
          </w:p>
        </w:tc>
        <w:tc>
          <w:tcPr>
            <w:tcW w:type="dxa" w:w="5112"/>
          </w:tcPr>
          <w:p>
            <w:r>
              <w:t>Timing issue for legal review</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Milestone to check</w:t>
            </w:r>
          </w:p>
        </w:tc>
        <w:tc>
          <w:tcPr>
            <w:tcW w:type="dxa" w:w="2045"/>
          </w:tcPr>
          <w:p>
            <w:r>
              <w:t>Actual date</w:t>
            </w:r>
          </w:p>
        </w:tc>
        <w:tc>
          <w:tcPr>
            <w:tcW w:type="dxa" w:w="2045"/>
          </w:tcPr>
          <w:p>
            <w:r>
              <w:t>Source / calculation</w:t>
            </w:r>
          </w:p>
        </w:tc>
        <w:tc>
          <w:tcPr>
            <w:tcW w:type="dxa" w:w="2045"/>
          </w:tcPr>
          <w:p>
            <w:r>
              <w:t>Confirmed by</w:t>
            </w:r>
          </w:p>
        </w:tc>
        <w:tc>
          <w:tcPr>
            <w:tcW w:type="dxa" w:w="2045"/>
          </w:tcPr>
          <w:p>
            <w:r>
              <w:t>Action</w:t>
            </w:r>
          </w:p>
        </w:tc>
      </w:tr>
      <w:tr>
        <w:tc>
          <w:tcPr>
            <w:tcW w:type="dxa" w:w="2045"/>
          </w:tcPr>
          <w:p>
            <w:r>
              <w:t>Application received</w:t>
            </w:r>
          </w:p>
        </w:tc>
        <w:tc>
          <w:tcPr>
            <w:tcW w:type="dxa" w:w="2045"/>
          </w:tcPr>
          <w:p>
            <w:r/>
          </w:p>
        </w:tc>
        <w:tc>
          <w:tcPr>
            <w:tcW w:type="dxa" w:w="2045"/>
          </w:tcPr>
          <w:p>
            <w:r/>
          </w:p>
        </w:tc>
        <w:tc>
          <w:tcPr>
            <w:tcW w:type="dxa" w:w="2045"/>
          </w:tcPr>
          <w:p>
            <w:r/>
          </w:p>
        </w:tc>
        <w:tc>
          <w:tcPr>
            <w:tcW w:type="dxa" w:w="2045"/>
          </w:tcPr>
          <w:p>
            <w:r/>
          </w:p>
        </w:tc>
      </w:tr>
      <w:tr>
        <w:tc>
          <w:tcPr>
            <w:tcW w:type="dxa" w:w="2045"/>
          </w:tcPr>
          <w:p>
            <w:r>
              <w:t>45+ days before sale?</w:t>
            </w:r>
          </w:p>
        </w:tc>
        <w:tc>
          <w:tcPr>
            <w:tcW w:type="dxa" w:w="2045"/>
          </w:tcPr>
          <w:p>
            <w:r/>
          </w:p>
        </w:tc>
        <w:tc>
          <w:tcPr>
            <w:tcW w:type="dxa" w:w="2045"/>
          </w:tcPr>
          <w:p>
            <w:r/>
          </w:p>
        </w:tc>
        <w:tc>
          <w:tcPr>
            <w:tcW w:type="dxa" w:w="2045"/>
          </w:tcPr>
          <w:p>
            <w:r/>
          </w:p>
        </w:tc>
        <w:tc>
          <w:tcPr>
            <w:tcW w:type="dxa" w:w="2045"/>
          </w:tcPr>
          <w:p>
            <w:r/>
          </w:p>
        </w:tc>
      </w:tr>
      <w:tr>
        <w:tc>
          <w:tcPr>
            <w:tcW w:type="dxa" w:w="2045"/>
          </w:tcPr>
          <w:p>
            <w:r>
              <w:t>Five-business-day acknowledgment</w:t>
            </w:r>
          </w:p>
        </w:tc>
        <w:tc>
          <w:tcPr>
            <w:tcW w:type="dxa" w:w="2045"/>
          </w:tcPr>
          <w:p>
            <w:r/>
          </w:p>
        </w:tc>
        <w:tc>
          <w:tcPr>
            <w:tcW w:type="dxa" w:w="2045"/>
          </w:tcPr>
          <w:p>
            <w:r/>
          </w:p>
        </w:tc>
        <w:tc>
          <w:tcPr>
            <w:tcW w:type="dxa" w:w="2045"/>
          </w:tcPr>
          <w:p>
            <w:r/>
          </w:p>
        </w:tc>
        <w:tc>
          <w:tcPr>
            <w:tcW w:type="dxa" w:w="2045"/>
          </w:tcPr>
          <w:p>
            <w:r/>
          </w:p>
        </w:tc>
      </w:tr>
      <w:tr>
        <w:tc>
          <w:tcPr>
            <w:tcW w:type="dxa" w:w="2045"/>
          </w:tcPr>
          <w:p>
            <w:r>
              <w:t>Missing-item date</w:t>
            </w:r>
          </w:p>
        </w:tc>
        <w:tc>
          <w:tcPr>
            <w:tcW w:type="dxa" w:w="2045"/>
          </w:tcPr>
          <w:p>
            <w:r/>
          </w:p>
        </w:tc>
        <w:tc>
          <w:tcPr>
            <w:tcW w:type="dxa" w:w="2045"/>
          </w:tcPr>
          <w:p>
            <w:r/>
          </w:p>
        </w:tc>
        <w:tc>
          <w:tcPr>
            <w:tcW w:type="dxa" w:w="2045"/>
          </w:tcPr>
          <w:p>
            <w:r/>
          </w:p>
        </w:tc>
        <w:tc>
          <w:tcPr>
            <w:tcW w:type="dxa" w:w="2045"/>
          </w:tcPr>
          <w:p>
            <w:r/>
          </w:p>
        </w:tc>
      </w:tr>
      <w:tr>
        <w:tc>
          <w:tcPr>
            <w:tcW w:type="dxa" w:w="2045"/>
          </w:tcPr>
          <w:p>
            <w:r>
              <w:t>Application complete</w:t>
            </w:r>
          </w:p>
        </w:tc>
        <w:tc>
          <w:tcPr>
            <w:tcW w:type="dxa" w:w="2045"/>
          </w:tcPr>
          <w:p>
            <w:r/>
          </w:p>
        </w:tc>
        <w:tc>
          <w:tcPr>
            <w:tcW w:type="dxa" w:w="2045"/>
          </w:tcPr>
          <w:p>
            <w:r/>
          </w:p>
        </w:tc>
        <w:tc>
          <w:tcPr>
            <w:tcW w:type="dxa" w:w="2045"/>
          </w:tcPr>
          <w:p>
            <w:r/>
          </w:p>
        </w:tc>
        <w:tc>
          <w:tcPr>
            <w:tcW w:type="dxa" w:w="2045"/>
          </w:tcPr>
          <w:p>
            <w:r/>
          </w:p>
        </w:tc>
      </w:tr>
      <w:tr>
        <w:tc>
          <w:tcPr>
            <w:tcW w:type="dxa" w:w="2045"/>
          </w:tcPr>
          <w:p>
            <w:r>
              <w:t>More than 37 days before sale?</w:t>
            </w:r>
          </w:p>
        </w:tc>
        <w:tc>
          <w:tcPr>
            <w:tcW w:type="dxa" w:w="2045"/>
          </w:tcPr>
          <w:p>
            <w:r/>
          </w:p>
        </w:tc>
        <w:tc>
          <w:tcPr>
            <w:tcW w:type="dxa" w:w="2045"/>
          </w:tcPr>
          <w:p>
            <w:r/>
          </w:p>
        </w:tc>
        <w:tc>
          <w:tcPr>
            <w:tcW w:type="dxa" w:w="2045"/>
          </w:tcPr>
          <w:p>
            <w:r/>
          </w:p>
        </w:tc>
        <w:tc>
          <w:tcPr>
            <w:tcW w:type="dxa" w:w="2045"/>
          </w:tcPr>
          <w:p>
            <w:r/>
          </w:p>
        </w:tc>
      </w:tr>
      <w:tr>
        <w:tc>
          <w:tcPr>
            <w:tcW w:type="dxa" w:w="2045"/>
          </w:tcPr>
          <w:p>
            <w:r>
              <w:t>30-day evaluation period</w:t>
            </w:r>
          </w:p>
        </w:tc>
        <w:tc>
          <w:tcPr>
            <w:tcW w:type="dxa" w:w="2045"/>
          </w:tcPr>
          <w:p>
            <w:r/>
          </w:p>
        </w:tc>
        <w:tc>
          <w:tcPr>
            <w:tcW w:type="dxa" w:w="2045"/>
          </w:tcPr>
          <w:p>
            <w:r/>
          </w:p>
        </w:tc>
        <w:tc>
          <w:tcPr>
            <w:tcW w:type="dxa" w:w="2045"/>
          </w:tcPr>
          <w:p>
            <w:r/>
          </w:p>
        </w:tc>
        <w:tc>
          <w:tcPr>
            <w:tcW w:type="dxa" w:w="2045"/>
          </w:tcPr>
          <w:p>
            <w:r/>
          </w:p>
        </w:tc>
      </w:tr>
      <w:tr>
        <w:tc>
          <w:tcPr>
            <w:tcW w:type="dxa" w:w="2045"/>
          </w:tcPr>
          <w:p>
            <w:r>
              <w:t>Offer acceptance date</w:t>
            </w:r>
          </w:p>
        </w:tc>
        <w:tc>
          <w:tcPr>
            <w:tcW w:type="dxa" w:w="2045"/>
          </w:tcPr>
          <w:p>
            <w:r/>
          </w:p>
        </w:tc>
        <w:tc>
          <w:tcPr>
            <w:tcW w:type="dxa" w:w="2045"/>
          </w:tcPr>
          <w:p>
            <w:r/>
          </w:p>
        </w:tc>
        <w:tc>
          <w:tcPr>
            <w:tcW w:type="dxa" w:w="2045"/>
          </w:tcPr>
          <w:p>
            <w:r/>
          </w:p>
        </w:tc>
        <w:tc>
          <w:tcPr>
            <w:tcW w:type="dxa" w:w="2045"/>
          </w:tcPr>
          <w:p>
            <w:r/>
          </w:p>
        </w:tc>
      </w:tr>
      <w:tr>
        <w:tc>
          <w:tcPr>
            <w:tcW w:type="dxa" w:w="2045"/>
          </w:tcPr>
          <w:p>
            <w:r>
              <w:t>Modification appeal date</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New Jersey Court Stage Tracker</w:t>
      </w:r>
    </w:p>
    <w:p>
      <w:r>
        <w:t>Mark only stages supported by court papers or a current docket check. A servicer status and a court status may not use the same terms.</w:t>
      </w:r>
    </w:p>
    <w:tbl>
      <w:tblPr>
        <w:tblStyle w:val="TableGrid"/>
        <w:tblW w:type="auto" w:w="0"/>
        <w:tblLook w:firstColumn="1" w:firstRow="1" w:lastColumn="0" w:lastRow="0" w:noHBand="0" w:noVBand="1" w:val="04A0"/>
      </w:tblPr>
      <w:tblGrid>
        <w:gridCol w:w="5112"/>
        <w:gridCol w:w="5112"/>
      </w:tblGrid>
      <w:tr>
        <w:tc>
          <w:tcPr>
            <w:tcW w:type="dxa" w:w="5112"/>
          </w:tcPr>
          <w:p>
            <w:r>
              <w:t>Superior Court county</w:t>
              <w:br/>
              <w:br/>
            </w:r>
          </w:p>
        </w:tc>
        <w:tc>
          <w:tcPr>
            <w:tcW w:type="dxa" w:w="5112"/>
          </w:tcPr>
          <w:p>
            <w:r>
              <w:t>Docket number</w:t>
              <w:br/>
              <w:br/>
            </w:r>
          </w:p>
        </w:tc>
      </w:tr>
      <w:tr>
        <w:tc>
          <w:tcPr>
            <w:tcW w:type="dxa" w:w="5112"/>
          </w:tcPr>
          <w:p>
            <w:r>
              <w:t>Plaintiff attorney</w:t>
              <w:br/>
              <w:br/>
            </w:r>
          </w:p>
        </w:tc>
        <w:tc>
          <w:tcPr>
            <w:tcW w:type="dxa" w:w="5112"/>
          </w:tcPr>
          <w:p>
            <w:r>
              <w:t>Homeowner attorney</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Stage</w:t>
            </w:r>
          </w:p>
        </w:tc>
        <w:tc>
          <w:tcPr>
            <w:tcW w:type="dxa" w:w="2045"/>
          </w:tcPr>
          <w:p>
            <w:r>
              <w:t>Document / docket proof</w:t>
            </w:r>
          </w:p>
        </w:tc>
        <w:tc>
          <w:tcPr>
            <w:tcW w:type="dxa" w:w="2045"/>
          </w:tcPr>
          <w:p>
            <w:r>
              <w:t>Date</w:t>
            </w:r>
          </w:p>
        </w:tc>
        <w:tc>
          <w:tcPr>
            <w:tcW w:type="dxa" w:w="2045"/>
          </w:tcPr>
          <w:p>
            <w:r>
              <w:t>Deadline / next event</w:t>
            </w:r>
          </w:p>
        </w:tc>
        <w:tc>
          <w:tcPr>
            <w:tcW w:type="dxa" w:w="2045"/>
          </w:tcPr>
          <w:p>
            <w:r>
              <w:t>Owner</w:t>
            </w:r>
          </w:p>
        </w:tc>
      </w:tr>
      <w:tr>
        <w:tc>
          <w:tcPr>
            <w:tcW w:type="dxa" w:w="2045"/>
          </w:tcPr>
          <w:p>
            <w:r>
              <w:t>Complaint filed</w:t>
            </w:r>
          </w:p>
        </w:tc>
        <w:tc>
          <w:tcPr>
            <w:tcW w:type="dxa" w:w="2045"/>
          </w:tcPr>
          <w:p>
            <w:r/>
          </w:p>
        </w:tc>
        <w:tc>
          <w:tcPr>
            <w:tcW w:type="dxa" w:w="2045"/>
          </w:tcPr>
          <w:p>
            <w:r/>
          </w:p>
        </w:tc>
        <w:tc>
          <w:tcPr>
            <w:tcW w:type="dxa" w:w="2045"/>
          </w:tcPr>
          <w:p>
            <w:r/>
          </w:p>
        </w:tc>
        <w:tc>
          <w:tcPr>
            <w:tcW w:type="dxa" w:w="2045"/>
          </w:tcPr>
          <w:p>
            <w:r/>
          </w:p>
        </w:tc>
      </w:tr>
      <w:tr>
        <w:tc>
          <w:tcPr>
            <w:tcW w:type="dxa" w:w="2045"/>
          </w:tcPr>
          <w:p>
            <w:r>
              <w:t>Complaint served</w:t>
            </w:r>
          </w:p>
        </w:tc>
        <w:tc>
          <w:tcPr>
            <w:tcW w:type="dxa" w:w="2045"/>
          </w:tcPr>
          <w:p>
            <w:r/>
          </w:p>
        </w:tc>
        <w:tc>
          <w:tcPr>
            <w:tcW w:type="dxa" w:w="2045"/>
          </w:tcPr>
          <w:p>
            <w:r/>
          </w:p>
        </w:tc>
        <w:tc>
          <w:tcPr>
            <w:tcW w:type="dxa" w:w="2045"/>
          </w:tcPr>
          <w:p>
            <w:r/>
          </w:p>
        </w:tc>
        <w:tc>
          <w:tcPr>
            <w:tcW w:type="dxa" w:w="2045"/>
          </w:tcPr>
          <w:p>
            <w:r/>
          </w:p>
        </w:tc>
      </w:tr>
      <w:tr>
        <w:tc>
          <w:tcPr>
            <w:tcW w:type="dxa" w:w="2045"/>
          </w:tcPr>
          <w:p>
            <w:r>
              <w:t>Answer / response</w:t>
            </w:r>
          </w:p>
        </w:tc>
        <w:tc>
          <w:tcPr>
            <w:tcW w:type="dxa" w:w="2045"/>
          </w:tcPr>
          <w:p>
            <w:r/>
          </w:p>
        </w:tc>
        <w:tc>
          <w:tcPr>
            <w:tcW w:type="dxa" w:w="2045"/>
          </w:tcPr>
          <w:p>
            <w:r/>
          </w:p>
        </w:tc>
        <w:tc>
          <w:tcPr>
            <w:tcW w:type="dxa" w:w="2045"/>
          </w:tcPr>
          <w:p>
            <w:r/>
          </w:p>
        </w:tc>
        <w:tc>
          <w:tcPr>
            <w:tcW w:type="dxa" w:w="2045"/>
          </w:tcPr>
          <w:p>
            <w:r/>
          </w:p>
        </w:tc>
      </w:tr>
      <w:tr>
        <w:tc>
          <w:tcPr>
            <w:tcW w:type="dxa" w:w="2045"/>
          </w:tcPr>
          <w:p>
            <w:r>
              <w:t>Mediation request</w:t>
            </w:r>
          </w:p>
        </w:tc>
        <w:tc>
          <w:tcPr>
            <w:tcW w:type="dxa" w:w="2045"/>
          </w:tcPr>
          <w:p>
            <w:r/>
          </w:p>
        </w:tc>
        <w:tc>
          <w:tcPr>
            <w:tcW w:type="dxa" w:w="2045"/>
          </w:tcPr>
          <w:p>
            <w:r/>
          </w:p>
        </w:tc>
        <w:tc>
          <w:tcPr>
            <w:tcW w:type="dxa" w:w="2045"/>
          </w:tcPr>
          <w:p>
            <w:r/>
          </w:p>
        </w:tc>
        <w:tc>
          <w:tcPr>
            <w:tcW w:type="dxa" w:w="2045"/>
          </w:tcPr>
          <w:p>
            <w:r/>
          </w:p>
        </w:tc>
      </w:tr>
      <w:tr>
        <w:tc>
          <w:tcPr>
            <w:tcW w:type="dxa" w:w="2045"/>
          </w:tcPr>
          <w:p>
            <w:r>
              <w:t>Default requested / entered</w:t>
            </w:r>
          </w:p>
        </w:tc>
        <w:tc>
          <w:tcPr>
            <w:tcW w:type="dxa" w:w="2045"/>
          </w:tcPr>
          <w:p>
            <w:r/>
          </w:p>
        </w:tc>
        <w:tc>
          <w:tcPr>
            <w:tcW w:type="dxa" w:w="2045"/>
          </w:tcPr>
          <w:p>
            <w:r/>
          </w:p>
        </w:tc>
        <w:tc>
          <w:tcPr>
            <w:tcW w:type="dxa" w:w="2045"/>
          </w:tcPr>
          <w:p>
            <w:r/>
          </w:p>
        </w:tc>
        <w:tc>
          <w:tcPr>
            <w:tcW w:type="dxa" w:w="2045"/>
          </w:tcPr>
          <w:p>
            <w:r/>
          </w:p>
        </w:tc>
      </w:tr>
      <w:tr>
        <w:tc>
          <w:tcPr>
            <w:tcW w:type="dxa" w:w="2045"/>
          </w:tcPr>
          <w:p>
            <w:r>
              <w:t>Contested case activity</w:t>
            </w:r>
          </w:p>
        </w:tc>
        <w:tc>
          <w:tcPr>
            <w:tcW w:type="dxa" w:w="2045"/>
          </w:tcPr>
          <w:p>
            <w:r/>
          </w:p>
        </w:tc>
        <w:tc>
          <w:tcPr>
            <w:tcW w:type="dxa" w:w="2045"/>
          </w:tcPr>
          <w:p>
            <w:r/>
          </w:p>
        </w:tc>
        <w:tc>
          <w:tcPr>
            <w:tcW w:type="dxa" w:w="2045"/>
          </w:tcPr>
          <w:p>
            <w:r/>
          </w:p>
        </w:tc>
        <w:tc>
          <w:tcPr>
            <w:tcW w:type="dxa" w:w="2045"/>
          </w:tcPr>
          <w:p>
            <w:r/>
          </w:p>
        </w:tc>
      </w:tr>
      <w:tr>
        <w:tc>
          <w:tcPr>
            <w:tcW w:type="dxa" w:w="2045"/>
          </w:tcPr>
          <w:p>
            <w:r>
              <w:t>Final judgment</w:t>
            </w:r>
          </w:p>
        </w:tc>
        <w:tc>
          <w:tcPr>
            <w:tcW w:type="dxa" w:w="2045"/>
          </w:tcPr>
          <w:p>
            <w:r/>
          </w:p>
        </w:tc>
        <w:tc>
          <w:tcPr>
            <w:tcW w:type="dxa" w:w="2045"/>
          </w:tcPr>
          <w:p>
            <w:r/>
          </w:p>
        </w:tc>
        <w:tc>
          <w:tcPr>
            <w:tcW w:type="dxa" w:w="2045"/>
          </w:tcPr>
          <w:p>
            <w:r/>
          </w:p>
        </w:tc>
        <w:tc>
          <w:tcPr>
            <w:tcW w:type="dxa" w:w="2045"/>
          </w:tcPr>
          <w:p>
            <w:r/>
          </w:p>
        </w:tc>
      </w:tr>
      <w:tr>
        <w:tc>
          <w:tcPr>
            <w:tcW w:type="dxa" w:w="2045"/>
          </w:tcPr>
          <w:p>
            <w:r>
              <w:t>Writ issued</w:t>
            </w:r>
          </w:p>
        </w:tc>
        <w:tc>
          <w:tcPr>
            <w:tcW w:type="dxa" w:w="2045"/>
          </w:tcPr>
          <w:p>
            <w:r/>
          </w:p>
        </w:tc>
        <w:tc>
          <w:tcPr>
            <w:tcW w:type="dxa" w:w="2045"/>
          </w:tcPr>
          <w:p>
            <w:r/>
          </w:p>
        </w:tc>
        <w:tc>
          <w:tcPr>
            <w:tcW w:type="dxa" w:w="2045"/>
          </w:tcPr>
          <w:p>
            <w:r/>
          </w:p>
        </w:tc>
        <w:tc>
          <w:tcPr>
            <w:tcW w:type="dxa" w:w="2045"/>
          </w:tcPr>
          <w:p>
            <w:r/>
          </w:p>
        </w:tc>
      </w:tr>
      <w:tr>
        <w:tc>
          <w:tcPr>
            <w:tcW w:type="dxa" w:w="2045"/>
          </w:tcPr>
          <w:p>
            <w:r>
              <w:t>Sheriff sale scheduled</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Court Filing and Response Log</w:t>
      </w:r>
    </w:p>
    <w:p>
      <w:r>
        <w:t>Track filed and served documents separately. Confirm whether a document was accepted, rejected, returned, or requires another response.</w:t>
      </w:r>
    </w:p>
    <w:tbl>
      <w:tblPr>
        <w:tblStyle w:val="TableGrid"/>
        <w:tblW w:type="auto" w:w="0"/>
        <w:tblLook w:firstColumn="1" w:firstRow="1" w:lastColumn="0" w:lastRow="0" w:noHBand="0" w:noVBand="1" w:val="04A0"/>
      </w:tblPr>
      <w:tblGrid>
        <w:gridCol w:w="5112"/>
        <w:gridCol w:w="5112"/>
      </w:tblGrid>
      <w:tr>
        <w:tc>
          <w:tcPr>
            <w:tcW w:type="dxa" w:w="5112"/>
          </w:tcPr>
          <w:p>
            <w:r>
              <w:t>Complaint service date</w:t>
              <w:br/>
              <w:br/>
            </w:r>
          </w:p>
        </w:tc>
        <w:tc>
          <w:tcPr>
            <w:tcW w:type="dxa" w:w="5112"/>
          </w:tcPr>
          <w:p>
            <w:r>
              <w:t>Answer date under review</w:t>
              <w:br/>
              <w:br/>
            </w:r>
          </w:p>
        </w:tc>
      </w:tr>
      <w:tr>
        <w:tc>
          <w:tcPr>
            <w:tcW w:type="dxa" w:w="5112"/>
          </w:tcPr>
          <w:p>
            <w:r>
              <w:t>Last docket check</w:t>
              <w:br/>
              <w:br/>
            </w:r>
          </w:p>
        </w:tc>
        <w:tc>
          <w:tcPr>
            <w:tcW w:type="dxa" w:w="5112"/>
          </w:tcPr>
          <w:p>
            <w:r>
              <w:t>Next attorney conference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Document / event</w:t>
            </w:r>
          </w:p>
        </w:tc>
        <w:tc>
          <w:tcPr>
            <w:tcW w:type="dxa" w:w="2045"/>
          </w:tcPr>
          <w:p>
            <w:r>
              <w:t>Filed / served</w:t>
            </w:r>
          </w:p>
        </w:tc>
        <w:tc>
          <w:tcPr>
            <w:tcW w:type="dxa" w:w="2045"/>
          </w:tcPr>
          <w:p>
            <w:r>
              <w:t>Response due</w:t>
            </w:r>
          </w:p>
        </w:tc>
        <w:tc>
          <w:tcPr>
            <w:tcW w:type="dxa" w:w="2045"/>
          </w:tcPr>
          <w:p>
            <w:r>
              <w:t>Proof / docket</w:t>
            </w:r>
          </w:p>
        </w:tc>
        <w:tc>
          <w:tcPr>
            <w:tcW w:type="dxa" w:w="2045"/>
          </w:tcPr>
          <w:p>
            <w:r>
              <w:t>Next step</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Mediation and Housing Counselor Log</w:t>
      </w:r>
    </w:p>
    <w:p>
      <w:r>
        <w:t>Mediation, counseling, loss mitigation, and court response obligations can overlap. Track each process without assuming one pauses another.</w:t>
      </w:r>
    </w:p>
    <w:tbl>
      <w:tblPr>
        <w:tblStyle w:val="TableGrid"/>
        <w:tblW w:type="auto" w:w="0"/>
        <w:tblLook w:firstColumn="1" w:firstRow="1" w:lastColumn="0" w:lastRow="0" w:noHBand="0" w:noVBand="1" w:val="04A0"/>
      </w:tblPr>
      <w:tblGrid>
        <w:gridCol w:w="5112"/>
        <w:gridCol w:w="5112"/>
      </w:tblGrid>
      <w:tr>
        <w:tc>
          <w:tcPr>
            <w:tcW w:type="dxa" w:w="5112"/>
          </w:tcPr>
          <w:p>
            <w:r>
              <w:t>Mediation request date</w:t>
              <w:br/>
              <w:br/>
            </w:r>
          </w:p>
        </w:tc>
        <w:tc>
          <w:tcPr>
            <w:tcW w:type="dxa" w:w="5112"/>
          </w:tcPr>
          <w:p>
            <w:r>
              <w:t>Counselor agency</w:t>
              <w:br/>
              <w:br/>
            </w:r>
          </w:p>
        </w:tc>
      </w:tr>
      <w:tr>
        <w:tc>
          <w:tcPr>
            <w:tcW w:type="dxa" w:w="5112"/>
          </w:tcPr>
          <w:p>
            <w:r>
              <w:t>Next appointment</w:t>
              <w:br/>
              <w:br/>
            </w:r>
          </w:p>
        </w:tc>
        <w:tc>
          <w:tcPr>
            <w:tcW w:type="dxa" w:w="5112"/>
          </w:tcPr>
          <w:p>
            <w:r>
              <w:t>Court deadline still active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Date</w:t>
            </w:r>
          </w:p>
        </w:tc>
        <w:tc>
          <w:tcPr>
            <w:tcW w:type="dxa" w:w="2045"/>
          </w:tcPr>
          <w:p>
            <w:r>
              <w:t>Program / person</w:t>
            </w:r>
          </w:p>
        </w:tc>
        <w:tc>
          <w:tcPr>
            <w:tcW w:type="dxa" w:w="2045"/>
          </w:tcPr>
          <w:p>
            <w:r>
              <w:t>Documents needed</w:t>
            </w:r>
          </w:p>
        </w:tc>
        <w:tc>
          <w:tcPr>
            <w:tcW w:type="dxa" w:w="2045"/>
          </w:tcPr>
          <w:p>
            <w:r>
              <w:t>Appointment / due date</w:t>
            </w:r>
          </w:p>
        </w:tc>
        <w:tc>
          <w:tcPr>
            <w:tcW w:type="dxa" w:w="2045"/>
          </w:tcPr>
          <w:p>
            <w:r>
              <w:t>Result</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Judgment and Sheriff Sale Tracker</w:t>
      </w:r>
    </w:p>
    <w:p>
      <w:r>
        <w:t>Treat a final judgment, writ, or sheriff sale notice as urgent. Verify information directly with counsel, the court record, and the county sheriff.</w:t>
      </w:r>
    </w:p>
    <w:tbl>
      <w:tblPr>
        <w:tblStyle w:val="TableGrid"/>
        <w:tblW w:type="auto" w:w="0"/>
        <w:tblLook w:firstColumn="1" w:firstRow="1" w:lastColumn="0" w:lastRow="0" w:noHBand="0" w:noVBand="1" w:val="04A0"/>
      </w:tblPr>
      <w:tblGrid>
        <w:gridCol w:w="5112"/>
        <w:gridCol w:w="5112"/>
      </w:tblGrid>
      <w:tr>
        <w:tc>
          <w:tcPr>
            <w:tcW w:type="dxa" w:w="5112"/>
          </w:tcPr>
          <w:p>
            <w:r>
              <w:t>County sheriff contact</w:t>
              <w:br/>
              <w:br/>
            </w:r>
          </w:p>
        </w:tc>
        <w:tc>
          <w:tcPr>
            <w:tcW w:type="dxa" w:w="5112"/>
          </w:tcPr>
          <w:p>
            <w:r>
              <w:t>Current sale location</w:t>
              <w:br/>
              <w:br/>
            </w:r>
          </w:p>
        </w:tc>
      </w:tr>
      <w:tr>
        <w:tc>
          <w:tcPr>
            <w:tcW w:type="dxa" w:w="5112"/>
          </w:tcPr>
          <w:p>
            <w:r>
              <w:t>Redemption question for counsel</w:t>
              <w:br/>
              <w:br/>
            </w:r>
          </w:p>
        </w:tc>
        <w:tc>
          <w:tcPr>
            <w:tcW w:type="dxa" w:w="5112"/>
          </w:tcPr>
          <w:p>
            <w:r>
              <w:t>Backup resolution deadline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Event</w:t>
            </w:r>
          </w:p>
        </w:tc>
        <w:tc>
          <w:tcPr>
            <w:tcW w:type="dxa" w:w="2045"/>
          </w:tcPr>
          <w:p>
            <w:r>
              <w:t>Date</w:t>
            </w:r>
          </w:p>
        </w:tc>
        <w:tc>
          <w:tcPr>
            <w:tcW w:type="dxa" w:w="2045"/>
          </w:tcPr>
          <w:p>
            <w:r>
              <w:t>Source</w:t>
            </w:r>
          </w:p>
        </w:tc>
        <w:tc>
          <w:tcPr>
            <w:tcW w:type="dxa" w:w="2045"/>
          </w:tcPr>
          <w:p>
            <w:r>
              <w:t>Deadline / option</w:t>
            </w:r>
          </w:p>
        </w:tc>
        <w:tc>
          <w:tcPr>
            <w:tcW w:type="dxa" w:w="2045"/>
          </w:tcPr>
          <w:p>
            <w:r>
              <w:t>Confirmed by</w:t>
            </w:r>
          </w:p>
        </w:tc>
      </w:tr>
      <w:tr>
        <w:tc>
          <w:tcPr>
            <w:tcW w:type="dxa" w:w="2045"/>
          </w:tcPr>
          <w:p>
            <w:r>
              <w:t>Final judgment entered</w:t>
            </w:r>
          </w:p>
        </w:tc>
        <w:tc>
          <w:tcPr>
            <w:tcW w:type="dxa" w:w="2045"/>
          </w:tcPr>
          <w:p>
            <w:r/>
          </w:p>
        </w:tc>
        <w:tc>
          <w:tcPr>
            <w:tcW w:type="dxa" w:w="2045"/>
          </w:tcPr>
          <w:p>
            <w:r/>
          </w:p>
        </w:tc>
        <w:tc>
          <w:tcPr>
            <w:tcW w:type="dxa" w:w="2045"/>
          </w:tcPr>
          <w:p>
            <w:r/>
          </w:p>
        </w:tc>
        <w:tc>
          <w:tcPr>
            <w:tcW w:type="dxa" w:w="2045"/>
          </w:tcPr>
          <w:p>
            <w:r/>
          </w:p>
        </w:tc>
      </w:tr>
      <w:tr>
        <w:tc>
          <w:tcPr>
            <w:tcW w:type="dxa" w:w="2045"/>
          </w:tcPr>
          <w:p>
            <w:r>
              <w:t>Judgment amount</w:t>
            </w:r>
          </w:p>
        </w:tc>
        <w:tc>
          <w:tcPr>
            <w:tcW w:type="dxa" w:w="2045"/>
          </w:tcPr>
          <w:p>
            <w:r/>
          </w:p>
        </w:tc>
        <w:tc>
          <w:tcPr>
            <w:tcW w:type="dxa" w:w="2045"/>
          </w:tcPr>
          <w:p>
            <w:r/>
          </w:p>
        </w:tc>
        <w:tc>
          <w:tcPr>
            <w:tcW w:type="dxa" w:w="2045"/>
          </w:tcPr>
          <w:p>
            <w:r/>
          </w:p>
        </w:tc>
        <w:tc>
          <w:tcPr>
            <w:tcW w:type="dxa" w:w="2045"/>
          </w:tcPr>
          <w:p>
            <w:r/>
          </w:p>
        </w:tc>
      </w:tr>
      <w:tr>
        <w:tc>
          <w:tcPr>
            <w:tcW w:type="dxa" w:w="2045"/>
          </w:tcPr>
          <w:p>
            <w:r>
              <w:t>Writ issued / received</w:t>
            </w:r>
          </w:p>
        </w:tc>
        <w:tc>
          <w:tcPr>
            <w:tcW w:type="dxa" w:w="2045"/>
          </w:tcPr>
          <w:p>
            <w:r/>
          </w:p>
        </w:tc>
        <w:tc>
          <w:tcPr>
            <w:tcW w:type="dxa" w:w="2045"/>
          </w:tcPr>
          <w:p>
            <w:r/>
          </w:p>
        </w:tc>
        <w:tc>
          <w:tcPr>
            <w:tcW w:type="dxa" w:w="2045"/>
          </w:tcPr>
          <w:p>
            <w:r/>
          </w:p>
        </w:tc>
        <w:tc>
          <w:tcPr>
            <w:tcW w:type="dxa" w:w="2045"/>
          </w:tcPr>
          <w:p>
            <w:r/>
          </w:p>
        </w:tc>
      </w:tr>
      <w:tr>
        <w:tc>
          <w:tcPr>
            <w:tcW w:type="dxa" w:w="2045"/>
          </w:tcPr>
          <w:p>
            <w:r>
              <w:t>Sale first scheduled</w:t>
            </w:r>
          </w:p>
        </w:tc>
        <w:tc>
          <w:tcPr>
            <w:tcW w:type="dxa" w:w="2045"/>
          </w:tcPr>
          <w:p>
            <w:r/>
          </w:p>
        </w:tc>
        <w:tc>
          <w:tcPr>
            <w:tcW w:type="dxa" w:w="2045"/>
          </w:tcPr>
          <w:p>
            <w:r/>
          </w:p>
        </w:tc>
        <w:tc>
          <w:tcPr>
            <w:tcW w:type="dxa" w:w="2045"/>
          </w:tcPr>
          <w:p>
            <w:r/>
          </w:p>
        </w:tc>
        <w:tc>
          <w:tcPr>
            <w:tcW w:type="dxa" w:w="2045"/>
          </w:tcPr>
          <w:p>
            <w:r/>
          </w:p>
        </w:tc>
      </w:tr>
      <w:tr>
        <w:tc>
          <w:tcPr>
            <w:tcW w:type="dxa" w:w="2045"/>
          </w:tcPr>
          <w:p>
            <w:r>
              <w:t>Sheriff notice received</w:t>
            </w:r>
          </w:p>
        </w:tc>
        <w:tc>
          <w:tcPr>
            <w:tcW w:type="dxa" w:w="2045"/>
          </w:tcPr>
          <w:p>
            <w:r/>
          </w:p>
        </w:tc>
        <w:tc>
          <w:tcPr>
            <w:tcW w:type="dxa" w:w="2045"/>
          </w:tcPr>
          <w:p>
            <w:r/>
          </w:p>
        </w:tc>
        <w:tc>
          <w:tcPr>
            <w:tcW w:type="dxa" w:w="2045"/>
          </w:tcPr>
          <w:p>
            <w:r/>
          </w:p>
        </w:tc>
        <w:tc>
          <w:tcPr>
            <w:tcW w:type="dxa" w:w="2045"/>
          </w:tcPr>
          <w:p>
            <w:r/>
          </w:p>
        </w:tc>
      </w:tr>
      <w:tr>
        <w:tc>
          <w:tcPr>
            <w:tcW w:type="dxa" w:w="2045"/>
          </w:tcPr>
          <w:p>
            <w:r>
              <w:t>Adjournment requested</w:t>
            </w:r>
          </w:p>
        </w:tc>
        <w:tc>
          <w:tcPr>
            <w:tcW w:type="dxa" w:w="2045"/>
          </w:tcPr>
          <w:p>
            <w:r/>
          </w:p>
        </w:tc>
        <w:tc>
          <w:tcPr>
            <w:tcW w:type="dxa" w:w="2045"/>
          </w:tcPr>
          <w:p>
            <w:r/>
          </w:p>
        </w:tc>
        <w:tc>
          <w:tcPr>
            <w:tcW w:type="dxa" w:w="2045"/>
          </w:tcPr>
          <w:p>
            <w:r/>
          </w:p>
        </w:tc>
        <w:tc>
          <w:tcPr>
            <w:tcW w:type="dxa" w:w="2045"/>
          </w:tcPr>
          <w:p>
            <w:r/>
          </w:p>
        </w:tc>
      </w:tr>
      <w:tr>
        <w:tc>
          <w:tcPr>
            <w:tcW w:type="dxa" w:w="2045"/>
          </w:tcPr>
          <w:p>
            <w:r>
              <w:t>Adjournment confirmed</w:t>
            </w:r>
          </w:p>
        </w:tc>
        <w:tc>
          <w:tcPr>
            <w:tcW w:type="dxa" w:w="2045"/>
          </w:tcPr>
          <w:p>
            <w:r/>
          </w:p>
        </w:tc>
        <w:tc>
          <w:tcPr>
            <w:tcW w:type="dxa" w:w="2045"/>
          </w:tcPr>
          <w:p>
            <w:r/>
          </w:p>
        </w:tc>
        <w:tc>
          <w:tcPr>
            <w:tcW w:type="dxa" w:w="2045"/>
          </w:tcPr>
          <w:p>
            <w:r/>
          </w:p>
        </w:tc>
        <w:tc>
          <w:tcPr>
            <w:tcW w:type="dxa" w:w="2045"/>
          </w:tcPr>
          <w:p>
            <w:r/>
          </w:p>
        </w:tc>
      </w:tr>
      <w:tr>
        <w:tc>
          <w:tcPr>
            <w:tcW w:type="dxa" w:w="2045"/>
          </w:tcPr>
          <w:p>
            <w:r>
              <w:t>Current sale date / time</w:t>
            </w:r>
          </w:p>
        </w:tc>
        <w:tc>
          <w:tcPr>
            <w:tcW w:type="dxa" w:w="2045"/>
          </w:tcPr>
          <w:p>
            <w:r/>
          </w:p>
        </w:tc>
        <w:tc>
          <w:tcPr>
            <w:tcW w:type="dxa" w:w="2045"/>
          </w:tcPr>
          <w:p>
            <w:r/>
          </w:p>
        </w:tc>
        <w:tc>
          <w:tcPr>
            <w:tcW w:type="dxa" w:w="2045"/>
          </w:tcPr>
          <w:p>
            <w:r/>
          </w:p>
        </w:tc>
        <w:tc>
          <w:tcPr>
            <w:tcW w:type="dxa" w:w="2045"/>
          </w:tcPr>
          <w:p>
            <w:r/>
          </w:p>
        </w:tc>
      </w:tr>
      <w:tr>
        <w:tc>
          <w:tcPr>
            <w:tcW w:type="dxa" w:w="2045"/>
          </w:tcPr>
          <w:p>
            <w:r>
              <w:t>Emergency review completed</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Resolution Option Comparison</w:t>
      </w:r>
    </w:p>
    <w:p>
      <w:r>
        <w:t>Compare timing, required approvals, cash needs, and document proof using current figures. Keep a backup path when the first option depends on approval.</w:t>
      </w:r>
    </w:p>
    <w:tbl>
      <w:tblPr>
        <w:tblStyle w:val="TableGrid"/>
        <w:tblW w:type="auto" w:w="0"/>
        <w:tblLook w:firstColumn="1" w:firstRow="1" w:lastColumn="0" w:lastRow="0" w:noHBand="0" w:noVBand="1" w:val="04A0"/>
      </w:tblPr>
      <w:tblGrid>
        <w:gridCol w:w="5112"/>
        <w:gridCol w:w="5112"/>
      </w:tblGrid>
      <w:tr>
        <w:tc>
          <w:tcPr>
            <w:tcW w:type="dxa" w:w="5112"/>
          </w:tcPr>
          <w:p>
            <w:r>
              <w:t>Primary option</w:t>
              <w:br/>
              <w:br/>
            </w:r>
          </w:p>
        </w:tc>
        <w:tc>
          <w:tcPr>
            <w:tcW w:type="dxa" w:w="5112"/>
          </w:tcPr>
          <w:p>
            <w:r>
              <w:t>Backup option</w:t>
              <w:br/>
              <w:br/>
            </w:r>
          </w:p>
        </w:tc>
      </w:tr>
      <w:tr>
        <w:tc>
          <w:tcPr>
            <w:tcW w:type="dxa" w:w="5112"/>
          </w:tcPr>
          <w:p>
            <w:r>
              <w:t>Latest workable start date</w:t>
              <w:br/>
              <w:br/>
            </w:r>
          </w:p>
        </w:tc>
        <w:tc>
          <w:tcPr>
            <w:tcW w:type="dxa" w:w="5112"/>
          </w:tcPr>
          <w:p>
            <w:r>
              <w:t>Professional confirming feasibility</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Option</w:t>
            </w:r>
          </w:p>
        </w:tc>
        <w:tc>
          <w:tcPr>
            <w:tcW w:type="dxa" w:w="2045"/>
          </w:tcPr>
          <w:p>
            <w:r>
              <w:t>Required proof / approval</w:t>
            </w:r>
          </w:p>
        </w:tc>
        <w:tc>
          <w:tcPr>
            <w:tcW w:type="dxa" w:w="2045"/>
          </w:tcPr>
          <w:p>
            <w:r>
              <w:t>Decision date</w:t>
            </w:r>
          </w:p>
        </w:tc>
        <w:tc>
          <w:tcPr>
            <w:tcW w:type="dxa" w:w="2045"/>
          </w:tcPr>
          <w:p>
            <w:r>
              <w:t>Completion date</w:t>
            </w:r>
          </w:p>
        </w:tc>
        <w:tc>
          <w:tcPr>
            <w:tcW w:type="dxa" w:w="2045"/>
          </w:tcPr>
          <w:p>
            <w:r>
              <w:t>Risk</w:t>
            </w:r>
          </w:p>
        </w:tc>
      </w:tr>
      <w:tr>
        <w:tc>
          <w:tcPr>
            <w:tcW w:type="dxa" w:w="2045"/>
          </w:tcPr>
          <w:p>
            <w:r>
              <w:t>Reinstatement / repayment</w:t>
            </w:r>
          </w:p>
        </w:tc>
        <w:tc>
          <w:tcPr>
            <w:tcW w:type="dxa" w:w="2045"/>
          </w:tcPr>
          <w:p>
            <w:r/>
          </w:p>
        </w:tc>
        <w:tc>
          <w:tcPr>
            <w:tcW w:type="dxa" w:w="2045"/>
          </w:tcPr>
          <w:p>
            <w:r/>
          </w:p>
        </w:tc>
        <w:tc>
          <w:tcPr>
            <w:tcW w:type="dxa" w:w="2045"/>
          </w:tcPr>
          <w:p>
            <w:r/>
          </w:p>
        </w:tc>
        <w:tc>
          <w:tcPr>
            <w:tcW w:type="dxa" w:w="2045"/>
          </w:tcPr>
          <w:p>
            <w:r/>
          </w:p>
        </w:tc>
      </w:tr>
      <w:tr>
        <w:tc>
          <w:tcPr>
            <w:tcW w:type="dxa" w:w="2045"/>
          </w:tcPr>
          <w:p>
            <w:r>
              <w:t>Loan modification</w:t>
            </w:r>
          </w:p>
        </w:tc>
        <w:tc>
          <w:tcPr>
            <w:tcW w:type="dxa" w:w="2045"/>
          </w:tcPr>
          <w:p>
            <w:r/>
          </w:p>
        </w:tc>
        <w:tc>
          <w:tcPr>
            <w:tcW w:type="dxa" w:w="2045"/>
          </w:tcPr>
          <w:p>
            <w:r/>
          </w:p>
        </w:tc>
        <w:tc>
          <w:tcPr>
            <w:tcW w:type="dxa" w:w="2045"/>
          </w:tcPr>
          <w:p>
            <w:r/>
          </w:p>
        </w:tc>
        <w:tc>
          <w:tcPr>
            <w:tcW w:type="dxa" w:w="2045"/>
          </w:tcPr>
          <w:p>
            <w:r/>
          </w:p>
        </w:tc>
      </w:tr>
      <w:tr>
        <w:tc>
          <w:tcPr>
            <w:tcW w:type="dxa" w:w="2045"/>
          </w:tcPr>
          <w:p>
            <w:r>
              <w:t>Refinance / third-party funds</w:t>
            </w:r>
          </w:p>
        </w:tc>
        <w:tc>
          <w:tcPr>
            <w:tcW w:type="dxa" w:w="2045"/>
          </w:tcPr>
          <w:p>
            <w:r/>
          </w:p>
        </w:tc>
        <w:tc>
          <w:tcPr>
            <w:tcW w:type="dxa" w:w="2045"/>
          </w:tcPr>
          <w:p>
            <w:r/>
          </w:p>
        </w:tc>
        <w:tc>
          <w:tcPr>
            <w:tcW w:type="dxa" w:w="2045"/>
          </w:tcPr>
          <w:p>
            <w:r/>
          </w:p>
        </w:tc>
        <w:tc>
          <w:tcPr>
            <w:tcW w:type="dxa" w:w="2045"/>
          </w:tcPr>
          <w:p>
            <w:r/>
          </w:p>
        </w:tc>
      </w:tr>
      <w:tr>
        <w:tc>
          <w:tcPr>
            <w:tcW w:type="dxa" w:w="2045"/>
          </w:tcPr>
          <w:p>
            <w:r>
              <w:t>Traditional property sale</w:t>
            </w:r>
          </w:p>
        </w:tc>
        <w:tc>
          <w:tcPr>
            <w:tcW w:type="dxa" w:w="2045"/>
          </w:tcPr>
          <w:p>
            <w:r/>
          </w:p>
        </w:tc>
        <w:tc>
          <w:tcPr>
            <w:tcW w:type="dxa" w:w="2045"/>
          </w:tcPr>
          <w:p>
            <w:r/>
          </w:p>
        </w:tc>
        <w:tc>
          <w:tcPr>
            <w:tcW w:type="dxa" w:w="2045"/>
          </w:tcPr>
          <w:p>
            <w:r/>
          </w:p>
        </w:tc>
        <w:tc>
          <w:tcPr>
            <w:tcW w:type="dxa" w:w="2045"/>
          </w:tcPr>
          <w:p>
            <w:r/>
          </w:p>
        </w:tc>
      </w:tr>
      <w:tr>
        <w:tc>
          <w:tcPr>
            <w:tcW w:type="dxa" w:w="2045"/>
          </w:tcPr>
          <w:p>
            <w:r>
              <w:t>Short sale</w:t>
            </w:r>
          </w:p>
        </w:tc>
        <w:tc>
          <w:tcPr>
            <w:tcW w:type="dxa" w:w="2045"/>
          </w:tcPr>
          <w:p>
            <w:r/>
          </w:p>
        </w:tc>
        <w:tc>
          <w:tcPr>
            <w:tcW w:type="dxa" w:w="2045"/>
          </w:tcPr>
          <w:p>
            <w:r/>
          </w:p>
        </w:tc>
        <w:tc>
          <w:tcPr>
            <w:tcW w:type="dxa" w:w="2045"/>
          </w:tcPr>
          <w:p>
            <w:r/>
          </w:p>
        </w:tc>
        <w:tc>
          <w:tcPr>
            <w:tcW w:type="dxa" w:w="2045"/>
          </w:tcPr>
          <w:p>
            <w:r/>
          </w:p>
        </w:tc>
      </w:tr>
      <w:tr>
        <w:tc>
          <w:tcPr>
            <w:tcW w:type="dxa" w:w="2045"/>
          </w:tcPr>
          <w:p>
            <w:r>
              <w:t>Deed in lieu</w:t>
            </w:r>
          </w:p>
        </w:tc>
        <w:tc>
          <w:tcPr>
            <w:tcW w:type="dxa" w:w="2045"/>
          </w:tcPr>
          <w:p>
            <w:r/>
          </w:p>
        </w:tc>
        <w:tc>
          <w:tcPr>
            <w:tcW w:type="dxa" w:w="2045"/>
          </w:tcPr>
          <w:p>
            <w:r/>
          </w:p>
        </w:tc>
        <w:tc>
          <w:tcPr>
            <w:tcW w:type="dxa" w:w="2045"/>
          </w:tcPr>
          <w:p>
            <w:r/>
          </w:p>
        </w:tc>
        <w:tc>
          <w:tcPr>
            <w:tcW w:type="dxa" w:w="2045"/>
          </w:tcPr>
          <w:p>
            <w:r/>
          </w:p>
        </w:tc>
      </w:tr>
      <w:tr>
        <w:tc>
          <w:tcPr>
            <w:tcW w:type="dxa" w:w="2045"/>
          </w:tcPr>
          <w:p>
            <w:r>
              <w:t>Bankruptcy consultation</w:t>
            </w:r>
          </w:p>
        </w:tc>
        <w:tc>
          <w:tcPr>
            <w:tcW w:type="dxa" w:w="2045"/>
          </w:tcPr>
          <w:p>
            <w:r/>
          </w:p>
        </w:tc>
        <w:tc>
          <w:tcPr>
            <w:tcW w:type="dxa" w:w="2045"/>
          </w:tcPr>
          <w:p>
            <w:r/>
          </w:p>
        </w:tc>
        <w:tc>
          <w:tcPr>
            <w:tcW w:type="dxa" w:w="2045"/>
          </w:tcPr>
          <w:p>
            <w:r/>
          </w:p>
        </w:tc>
        <w:tc>
          <w:tcPr>
            <w:tcW w:type="dxa" w:w="2045"/>
          </w:tcPr>
          <w:p>
            <w:r/>
          </w:p>
        </w:tc>
      </w:tr>
      <w:tr>
        <w:tc>
          <w:tcPr>
            <w:tcW w:type="dxa" w:w="2045"/>
          </w:tcPr>
          <w:p>
            <w:r>
              <w:t>Litigation / defense review</w:t>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14-Day Emergency Action Plan</w:t>
      </w:r>
    </w:p>
    <w:p>
      <w:r>
        <w:t>Use short deadlines and proof-based tasks. If less than 14 days remain before a court event or sale, obtain immediate professional guidance.</w:t>
      </w:r>
    </w:p>
    <w:tbl>
      <w:tblPr>
        <w:tblStyle w:val="TableGrid"/>
        <w:tblW w:type="auto" w:w="0"/>
        <w:tblLook w:firstColumn="1" w:firstRow="1" w:lastColumn="0" w:lastRow="0" w:noHBand="0" w:noVBand="1" w:val="04A0"/>
      </w:tblPr>
      <w:tblGrid>
        <w:gridCol w:w="5112"/>
        <w:gridCol w:w="5112"/>
      </w:tblGrid>
      <w:tr>
        <w:tc>
          <w:tcPr>
            <w:tcW w:type="dxa" w:w="5112"/>
          </w:tcPr>
          <w:p>
            <w:r>
              <w:t>Next servicer deadline</w:t>
              <w:br/>
              <w:br/>
            </w:r>
          </w:p>
        </w:tc>
        <w:tc>
          <w:tcPr>
            <w:tcW w:type="dxa" w:w="5112"/>
          </w:tcPr>
          <w:p>
            <w:r>
              <w:t>Next court deadline</w:t>
              <w:br/>
              <w:br/>
            </w:r>
          </w:p>
        </w:tc>
      </w:tr>
      <w:tr>
        <w:tc>
          <w:tcPr>
            <w:tcW w:type="dxa" w:w="5112"/>
          </w:tcPr>
          <w:p>
            <w:r>
              <w:t>Current sheriff sale date</w:t>
              <w:br/>
              <w:br/>
            </w:r>
          </w:p>
        </w:tc>
        <w:tc>
          <w:tcPr>
            <w:tcW w:type="dxa" w:w="5112"/>
          </w:tcPr>
          <w:p>
            <w:r>
              <w:t>Emergency legal review date</w:t>
              <w:br/>
              <w:br/>
            </w:r>
          </w:p>
        </w:tc>
      </w:tr>
    </w:tbl>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2045"/>
          </w:tcPr>
          <w:p>
            <w:r>
              <w:t>Priority action</w:t>
            </w:r>
          </w:p>
        </w:tc>
        <w:tc>
          <w:tcPr>
            <w:tcW w:type="dxa" w:w="2045"/>
          </w:tcPr>
          <w:p>
            <w:r>
              <w:t>Owner</w:t>
            </w:r>
          </w:p>
        </w:tc>
        <w:tc>
          <w:tcPr>
            <w:tcW w:type="dxa" w:w="2045"/>
          </w:tcPr>
          <w:p>
            <w:r>
              <w:t>Due date</w:t>
            </w:r>
          </w:p>
        </w:tc>
        <w:tc>
          <w:tcPr>
            <w:tcW w:type="dxa" w:w="2045"/>
          </w:tcPr>
          <w:p>
            <w:r>
              <w:t>Proof / deliverable</w:t>
            </w:r>
          </w:p>
        </w:tc>
        <w:tc>
          <w:tcPr>
            <w:tcW w:type="dxa" w:w="2045"/>
          </w:tcPr>
          <w:p>
            <w:r>
              <w:t>Status</w:t>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r>
        <w:tc>
          <w:tcPr>
            <w:tcW w:type="dxa" w:w="2045"/>
          </w:tcPr>
          <w:p>
            <w:r/>
          </w:p>
        </w:tc>
        <w:tc>
          <w:tcPr>
            <w:tcW w:type="dxa" w:w="2045"/>
          </w:tcPr>
          <w:p>
            <w:r/>
          </w:p>
        </w:tc>
        <w:tc>
          <w:tcPr>
            <w:tcW w:type="dxa" w:w="2045"/>
          </w:tcPr>
          <w:p>
            <w:r/>
          </w:p>
        </w:tc>
        <w:tc>
          <w:tcPr>
            <w:tcW w:type="dxa" w:w="2045"/>
          </w:tcPr>
          <w:p>
            <w:r/>
          </w:p>
        </w:tc>
        <w:tc>
          <w:tcPr>
            <w:tcW w:type="dxa" w:w="2045"/>
          </w:tcPr>
          <w:p>
            <w:r/>
          </w:p>
        </w:tc>
      </w:tr>
    </w:tbl>
    <w:p/>
    <w:p>
      <w:r>
        <w:br w:type="page"/>
      </w:r>
    </w:p>
    <w:p>
      <w:pPr>
        <w:pStyle w:val="Heading1"/>
      </w:pPr>
      <w:r>
        <w:rPr>
          <w:rFonts w:ascii="Cormorant Garamond" w:hAnsi="Cormorant Garamond"/>
          <w:color w:val="0F1F38"/>
        </w:rPr>
        <w:t>Common Deadline Mistakes</w:t>
      </w:r>
    </w:p>
    <w:p>
      <w:r>
        <w:t>These mistakes can shrink available options or allow the court process to continue without a protected response.</w:t>
      </w:r>
    </w:p>
    <w:p>
      <w:pPr>
        <w:pStyle w:val="Heading2"/>
      </w:pPr>
      <w:r>
        <w:rPr>
          <w:rFonts w:ascii="Cormorant Garamond" w:hAnsi="Cormorant Garamond"/>
          <w:color w:val="0F1F38"/>
        </w:rPr>
        <w:t>Checklist</w:t>
      </w:r>
    </w:p>
    <w:p>
      <w:pPr>
        <w:spacing w:after="60"/>
      </w:pPr>
      <w:r>
        <w:rPr>
          <w:b/>
          <w:color w:val="B89C6A"/>
        </w:rPr>
        <w:t xml:space="preserve">☐ </w:t>
      </w:r>
      <w:r>
        <w:t>Calculating from the wrong event, such as notice date instead of service date.</w:t>
      </w:r>
    </w:p>
    <w:p>
      <w:pPr>
        <w:spacing w:after="60"/>
      </w:pPr>
      <w:r>
        <w:rPr>
          <w:b/>
          <w:color w:val="B89C6A"/>
        </w:rPr>
        <w:t xml:space="preserve">☐ </w:t>
      </w:r>
      <w:r>
        <w:t>Discarding envelopes, certified-mail records, service papers, or upload confirmations.</w:t>
      </w:r>
    </w:p>
    <w:p>
      <w:pPr>
        <w:spacing w:after="60"/>
      </w:pPr>
      <w:r>
        <w:rPr>
          <w:b/>
          <w:color w:val="B89C6A"/>
        </w:rPr>
        <w:t xml:space="preserve">☐ </w:t>
      </w:r>
      <w:r>
        <w:t>Assuming a loss-mitigation application is complete because documents were uploaded.</w:t>
      </w:r>
    </w:p>
    <w:p>
      <w:pPr>
        <w:spacing w:after="60"/>
      </w:pPr>
      <w:r>
        <w:rPr>
          <w:b/>
          <w:color w:val="B89C6A"/>
        </w:rPr>
        <w:t xml:space="preserve">☐ </w:t>
      </w:r>
      <w:r>
        <w:t>Treating mediation, counseling, negotiation, bankruptcy consultation, or a listing as an automatic court stay.</w:t>
      </w:r>
    </w:p>
    <w:p>
      <w:pPr>
        <w:spacing w:after="60"/>
      </w:pPr>
      <w:r>
        <w:rPr>
          <w:b/>
          <w:color w:val="B89C6A"/>
        </w:rPr>
        <w:t xml:space="preserve">☐ </w:t>
      </w:r>
      <w:r>
        <w:t>Ignoring a complaint while waiting for a servicer decision.</w:t>
      </w:r>
    </w:p>
    <w:p>
      <w:pPr>
        <w:spacing w:after="60"/>
      </w:pPr>
      <w:r>
        <w:rPr>
          <w:b/>
          <w:color w:val="B89C6A"/>
        </w:rPr>
        <w:t xml:space="preserve">☐ </w:t>
      </w:r>
      <w:r>
        <w:t>Using an old sheriff sale date after an adjournment or rescheduling.</w:t>
      </w:r>
    </w:p>
    <w:p>
      <w:pPr>
        <w:spacing w:after="60"/>
      </w:pPr>
      <w:r>
        <w:rPr>
          <w:b/>
          <w:color w:val="B89C6A"/>
        </w:rPr>
        <w:t xml:space="preserve">☐ </w:t>
      </w:r>
      <w:r>
        <w:t>Relying on a verbal promise that a filing, judgment, or sale is paused.</w:t>
      </w:r>
    </w:p>
    <w:p>
      <w:pPr>
        <w:spacing w:after="60"/>
      </w:pPr>
      <w:r>
        <w:rPr>
          <w:b/>
          <w:color w:val="B89C6A"/>
        </w:rPr>
        <w:t xml:space="preserve">☐ </w:t>
      </w:r>
      <w:r>
        <w:t>Waiting until the last days before a sale to compare realistic property-resolution options.</w:t>
      </w:r>
    </w:p>
    <w:p>
      <w:r>
        <w:br w:type="page"/>
      </w:r>
    </w:p>
    <w:p>
      <w:pPr>
        <w:pStyle w:val="Heading1"/>
      </w:pPr>
      <w:r>
        <w:rPr>
          <w:rFonts w:ascii="Cormorant Garamond" w:hAnsi="Cormorant Garamond"/>
          <w:color w:val="0F1F38"/>
        </w:rPr>
        <w:t>Frequently Asked Questions</w:t>
      </w:r>
    </w:p>
    <w:p>
      <w:r>
        <w:t>These answers are general planning guidance. The notices, service record, court docket, orders, loan documents, and current law control.</w:t>
      </w:r>
    </w:p>
    <w:p>
      <w:pPr>
        <w:pStyle w:val="Heading2"/>
      </w:pPr>
      <w:r>
        <w:rPr>
          <w:rFonts w:ascii="Cormorant Garamond" w:hAnsi="Cormorant Garamond"/>
          <w:color w:val="0F1F38"/>
        </w:rPr>
        <w:t>Is every New Jersey foreclosure timeline the same?</w:t>
      </w:r>
    </w:p>
    <w:p>
      <w:pPr>
        <w:spacing w:after="60"/>
      </w:pPr>
      <w:r>
        <w:rPr>
          <w:b/>
          <w:color w:val="B89C6A"/>
        </w:rPr>
        <w:t xml:space="preserve">☐ </w:t>
      </w:r>
      <w:r>
        <w:t>No. Service, contested issues, mediation, loss mitigation, bankruptcy, court orders, judgment activity, and sheriff scheduling can change the sequence and dates.</w:t>
      </w:r>
    </w:p>
    <w:p>
      <w:pPr>
        <w:pStyle w:val="Heading2"/>
      </w:pPr>
      <w:r>
        <w:rPr>
          <w:rFonts w:ascii="Cormorant Garamond" w:hAnsi="Cormorant Garamond"/>
          <w:color w:val="0F1F38"/>
        </w:rPr>
        <w:t>Does applying for mortgage help stop the court case?</w:t>
      </w:r>
    </w:p>
    <w:p>
      <w:pPr>
        <w:spacing w:after="60"/>
      </w:pPr>
      <w:r>
        <w:rPr>
          <w:b/>
          <w:color w:val="B89C6A"/>
        </w:rPr>
        <w:t xml:space="preserve">☐ </w:t>
      </w:r>
      <w:r>
        <w:t>Do not assume it does. Track the application and court case separately, and obtain written confirmation or legal advice about any pause or protection.</w:t>
      </w:r>
    </w:p>
    <w:p>
      <w:pPr>
        <w:pStyle w:val="Heading2"/>
      </w:pPr>
      <w:r>
        <w:rPr>
          <w:rFonts w:ascii="Cormorant Garamond" w:hAnsi="Cormorant Garamond"/>
          <w:color w:val="0F1F38"/>
        </w:rPr>
        <w:t>When should the answer date be reviewed?</w:t>
      </w:r>
    </w:p>
    <w:p>
      <w:pPr>
        <w:spacing w:after="60"/>
      </w:pPr>
      <w:r>
        <w:rPr>
          <w:b/>
          <w:color w:val="B89C6A"/>
        </w:rPr>
        <w:t xml:space="preserve">☐ </w:t>
      </w:r>
      <w:r>
        <w:t>Immediately after service of a complaint. New Jersey court materials commonly reference 35 days after service, but an attorney should confirm the date and response for the specific case.</w:t>
      </w:r>
    </w:p>
    <w:p>
      <w:pPr>
        <w:pStyle w:val="Heading2"/>
      </w:pPr>
      <w:r>
        <w:rPr>
          <w:rFonts w:ascii="Cormorant Garamond" w:hAnsi="Cormorant Garamond"/>
          <w:color w:val="0F1F38"/>
        </w:rPr>
        <w:t>Why does application completeness matter?</w:t>
      </w:r>
    </w:p>
    <w:p>
      <w:pPr>
        <w:spacing w:after="60"/>
      </w:pPr>
      <w:r>
        <w:rPr>
          <w:b/>
          <w:color w:val="B89C6A"/>
        </w:rPr>
        <w:t xml:space="preserve">☐ </w:t>
      </w:r>
      <w:r>
        <w:t>Federal servicing duties and timing protections can depend on when the servicer receives an application, whether it is complete, and how far the file is from a foreclosure sale.</w:t>
      </w:r>
    </w:p>
    <w:p>
      <w:pPr>
        <w:pStyle w:val="Heading2"/>
      </w:pPr>
      <w:r>
        <w:rPr>
          <w:rFonts w:ascii="Cormorant Garamond" w:hAnsi="Cormorant Garamond"/>
          <w:color w:val="0F1F38"/>
        </w:rPr>
        <w:t>What should happen when a sheriff sale is scheduled?</w:t>
      </w:r>
    </w:p>
    <w:p>
      <w:pPr>
        <w:spacing w:after="60"/>
      </w:pPr>
      <w:r>
        <w:rPr>
          <w:b/>
          <w:color w:val="B89C6A"/>
        </w:rPr>
        <w:t xml:space="preserve">☐ </w:t>
      </w:r>
      <w:r>
        <w:t>Verify the current sale information, preserve the notice, obtain urgent legal advice, and confirm any adjournment or resolution in writing. Do not rely on an unconfirmed verbal update.</w:t>
      </w:r>
    </w:p>
    <w:p>
      <w:r>
        <w:br w:type="page"/>
      </w:r>
    </w:p>
    <w:p>
      <w:pPr>
        <w:pStyle w:val="Heading1"/>
      </w:pPr>
      <w:r>
        <w:rPr>
          <w:rFonts w:ascii="Cormorant Garamond" w:hAnsi="Cormorant Garamond"/>
          <w:color w:val="0F1F38"/>
        </w:rPr>
        <w:t>Official Resources</w:t>
      </w:r>
    </w:p>
    <w:p>
      <w:r>
        <w:t>Use official sources for current court, mediation, counseling, and servicing information. Save the page, form, or confirmation used for each deadline decision.</w:t>
      </w:r>
    </w:p>
    <w:tbl>
      <w:tblPr>
        <w:tblStyle w:val="TableGrid"/>
        <w:tblW w:type="auto" w:w="0"/>
        <w:tblLook w:firstColumn="1" w:firstRow="1" w:lastColumn="0" w:lastRow="0" w:noHBand="0" w:noVBand="1" w:val="04A0"/>
      </w:tblPr>
      <w:tblGrid>
        <w:gridCol w:w="5112"/>
        <w:gridCol w:w="5112"/>
      </w:tblGrid>
      <w:tr>
        <w:tc>
          <w:tcPr>
            <w:tcW w:type="dxa" w:w="5112"/>
          </w:tcPr>
          <w:p>
            <w:r>
              <w:t>Official resource</w:t>
            </w:r>
          </w:p>
        </w:tc>
        <w:tc>
          <w:tcPr>
            <w:tcW w:type="dxa" w:w="5112"/>
          </w:tcPr>
          <w:p>
            <w:r>
              <w:t>Printed URL</w:t>
            </w:r>
          </w:p>
        </w:tc>
      </w:tr>
      <w:tr>
        <w:tc>
          <w:tcPr>
            <w:tcW w:type="dxa" w:w="5112"/>
          </w:tcPr>
          <w:p>
            <w:r>
              <w:t>New Jersey Courts - Foreclosure Self-Help</w:t>
            </w:r>
          </w:p>
        </w:tc>
        <w:tc>
          <w:tcPr>
            <w:tcW w:type="dxa" w:w="5112"/>
          </w:tcPr>
          <w:p>
            <w:r>
              <w:t>https://www.njcourts.gov/self-help/foreclosure</w:t>
            </w:r>
          </w:p>
        </w:tc>
      </w:tr>
      <w:tr>
        <w:tc>
          <w:tcPr>
            <w:tcW w:type="dxa" w:w="5112"/>
          </w:tcPr>
          <w:p>
            <w:r>
              <w:t>New Jersey Courts - Foreclosure Mediation</w:t>
            </w:r>
          </w:p>
        </w:tc>
        <w:tc>
          <w:tcPr>
            <w:tcW w:type="dxa" w:w="5112"/>
          </w:tcPr>
          <w:p>
            <w:r>
              <w:t>https://www.njcourts.gov/self-help/foreclosure/mediation</w:t>
            </w:r>
          </w:p>
        </w:tc>
      </w:tr>
      <w:tr>
        <w:tc>
          <w:tcPr>
            <w:tcW w:type="dxa" w:w="5112"/>
          </w:tcPr>
          <w:p>
            <w:r>
              <w:t>New Jersey Courts - Search Civil Case Public Records</w:t>
            </w:r>
          </w:p>
        </w:tc>
        <w:tc>
          <w:tcPr>
            <w:tcW w:type="dxa" w:w="5112"/>
          </w:tcPr>
          <w:p>
            <w:r>
              <w:t>https://www.njcourts.gov/public/find-a-case/civil-case-public-access</w:t>
            </w:r>
          </w:p>
        </w:tc>
      </w:tr>
      <w:tr>
        <w:tc>
          <w:tcPr>
            <w:tcW w:type="dxa" w:w="5112"/>
          </w:tcPr>
          <w:p>
            <w:r>
              <w:t>NJ HMFA - Foreclosure Prevention Counseling</w:t>
            </w:r>
          </w:p>
        </w:tc>
        <w:tc>
          <w:tcPr>
            <w:tcW w:type="dxa" w:w="5112"/>
          </w:tcPr>
          <w:p>
            <w:r>
              <w:t>https://www.nj.gov/dca/hmfa/homeowners/foreclosure-prevention/</w:t>
            </w:r>
          </w:p>
        </w:tc>
      </w:tr>
      <w:tr>
        <w:tc>
          <w:tcPr>
            <w:tcW w:type="dxa" w:w="5112"/>
          </w:tcPr>
          <w:p>
            <w:r>
              <w:t>CFPB - Mortgage Help</w:t>
            </w:r>
          </w:p>
        </w:tc>
        <w:tc>
          <w:tcPr>
            <w:tcW w:type="dxa" w:w="5112"/>
          </w:tcPr>
          <w:p>
            <w:r>
              <w:t>https://www.consumerfinance.gov/housing/housing-insecurity/help-for-homeowners/</w:t>
            </w:r>
          </w:p>
        </w:tc>
      </w:tr>
      <w:tr>
        <w:tc>
          <w:tcPr>
            <w:tcW w:type="dxa" w:w="5112"/>
          </w:tcPr>
          <w:p>
            <w:r>
              <w:t>CFPB - Loss Mitigation Procedures</w:t>
            </w:r>
          </w:p>
        </w:tc>
        <w:tc>
          <w:tcPr>
            <w:tcW w:type="dxa" w:w="5112"/>
          </w:tcPr>
          <w:p>
            <w:r>
              <w:t>https://www.consumerfinance.gov/rules-policy/regulations/1024/41/</w:t>
            </w:r>
          </w:p>
        </w:tc>
      </w:tr>
      <w:tr>
        <w:tc>
          <w:tcPr>
            <w:tcW w:type="dxa" w:w="5112"/>
          </w:tcPr>
          <w:p>
            <w:r>
              <w:t>U.S. HUD - Find a Housing Counselor</w:t>
            </w:r>
          </w:p>
        </w:tc>
        <w:tc>
          <w:tcPr>
            <w:tcW w:type="dxa" w:w="5112"/>
          </w:tcPr>
          <w:p>
            <w:r>
              <w:t>https://www.hud.gov/housing-counseling</w:t>
            </w:r>
          </w:p>
        </w:tc>
      </w:tr>
      <w:tr>
        <w:tc>
          <w:tcPr>
            <w:tcW w:type="dxa" w:w="5112"/>
          </w:tcPr>
          <w:p>
            <w:r>
              <w:t>New Jersey Judicial Foreclosure Timeline</w:t>
            </w:r>
          </w:p>
        </w:tc>
        <w:tc>
          <w:tcPr>
            <w:tcW w:type="dxa" w:w="5112"/>
          </w:tcPr>
          <w:p>
            <w:r>
              <w:t>https://www.vierainvestmentgroup.com/nj/new-jersey-judicial-foreclosure-timeline-2026</w:t>
            </w:r>
          </w:p>
        </w:tc>
      </w:tr>
    </w:tbl>
    <w:p/>
    <w:tbl>
      <w:tblPr>
        <w:tblStyle w:val="TableGrid"/>
        <w:tblW w:type="auto" w:w="0"/>
        <w:tblLook w:firstColumn="1" w:firstRow="1" w:lastColumn="0" w:lastRow="0" w:noHBand="0" w:noVBand="1" w:val="04A0"/>
      </w:tblPr>
      <w:tblGrid>
        <w:gridCol w:w="10224"/>
      </w:tblGrid>
      <w:tr>
        <w:tc>
          <w:tcPr>
            <w:tcW w:type="dxa" w:w="10224"/>
          </w:tcPr>
          <w:p>
            <w:r>
              <w:t>Resource notes</w:t>
              <w:br/>
              <w:br/>
            </w:r>
          </w:p>
        </w:tc>
      </w:tr>
    </w:tbl>
    <w:p/>
    <w:p>
      <w:r>
        <w:br w:type="page"/>
      </w:r>
    </w:p>
    <w:p>
      <w:pPr>
        <w:pStyle w:val="Heading1"/>
      </w:pPr>
      <w:r>
        <w:rPr>
          <w:rFonts w:ascii="Cormorant Garamond" w:hAnsi="Cormorant Garamond"/>
          <w:color w:val="0F1F38"/>
        </w:rPr>
        <w:t>Talk With Ray</w:t>
      </w:r>
    </w:p>
    <w:p>
      <w:r>
        <w:t>Use this page when a New Jersey property has mortgage arrears, active foreclosure notices, a sale deadline, condition issues, or a time-sensitive property decision.</w:t>
      </w:r>
    </w:p>
    <w:tbl>
      <w:tblPr>
        <w:tblStyle w:val="TableGrid"/>
        <w:tblW w:type="auto" w:w="0"/>
        <w:tblLook w:firstColumn="1" w:firstRow="1" w:lastColumn="0" w:lastRow="0" w:noHBand="0" w:noVBand="1" w:val="04A0"/>
      </w:tblPr>
      <w:tblGrid>
        <w:gridCol w:w="5112"/>
        <w:gridCol w:w="5112"/>
      </w:tblGrid>
      <w:tr>
        <w:tc>
          <w:tcPr>
            <w:tcW w:type="dxa" w:w="5112"/>
          </w:tcPr>
          <w:p>
            <w:r>
              <w:t>Property address</w:t>
              <w:br/>
              <w:br/>
            </w:r>
          </w:p>
        </w:tc>
        <w:tc>
          <w:tcPr>
            <w:tcW w:type="dxa" w:w="5112"/>
          </w:tcPr>
          <w:p>
            <w:r>
              <w:t>Servicer</w:t>
              <w:br/>
              <w:br/>
            </w:r>
          </w:p>
        </w:tc>
      </w:tr>
      <w:tr>
        <w:tc>
          <w:tcPr>
            <w:tcW w:type="dxa" w:w="5112"/>
          </w:tcPr>
          <w:p>
            <w:r>
              <w:t>Next confirmed deadline</w:t>
              <w:br/>
              <w:br/>
            </w:r>
          </w:p>
        </w:tc>
        <w:tc>
          <w:tcPr>
            <w:tcW w:type="dxa" w:w="5112"/>
          </w:tcPr>
          <w:p>
            <w:r>
              <w:t>Best callback number</w:t>
              <w:br/>
              <w:br/>
            </w:r>
          </w:p>
        </w:tc>
      </w:tr>
    </w:tbl>
    <w:p/>
    <w:tbl>
      <w:tblPr>
        <w:tblStyle w:val="TableGrid"/>
        <w:tblW w:type="auto" w:w="0"/>
        <w:tblLook w:firstColumn="1" w:firstRow="1" w:lastColumn="0" w:lastRow="0" w:noHBand="0" w:noVBand="1" w:val="04A0"/>
      </w:tblPr>
      <w:tblGrid>
        <w:gridCol w:w="10224"/>
      </w:tblGrid>
      <w:tr>
        <w:tc>
          <w:tcPr>
            <w:tcW w:type="dxa" w:w="10224"/>
          </w:tcPr>
          <w:p>
            <w:r>
              <w:t>Current servicer and court stage</w:t>
              <w:br/>
              <w:br/>
            </w:r>
          </w:p>
        </w:tc>
      </w:tr>
    </w:tbl>
    <w:p/>
    <w:tbl>
      <w:tblPr>
        <w:tblStyle w:val="TableGrid"/>
        <w:tblW w:type="auto" w:w="0"/>
        <w:tblLook w:firstColumn="1" w:firstRow="1" w:lastColumn="0" w:lastRow="0" w:noHBand="0" w:noVBand="1" w:val="04A0"/>
      </w:tblPr>
      <w:tblGrid>
        <w:gridCol w:w="10224"/>
      </w:tblGrid>
      <w:tr>
        <w:tc>
          <w:tcPr>
            <w:tcW w:type="dxa" w:w="10224"/>
          </w:tcPr>
          <w:p>
            <w:r>
              <w:t>Documents and figures to have ready</w:t>
              <w:br/>
              <w:br/>
            </w:r>
          </w:p>
        </w:tc>
      </w:tr>
    </w:tbl>
    <w:p/>
    <w:tbl>
      <w:tblPr>
        <w:tblStyle w:val="TableGrid"/>
        <w:tblW w:type="auto" w:w="0"/>
        <w:tblLook w:firstColumn="1" w:firstRow="1" w:lastColumn="0" w:lastRow="0" w:noHBand="0" w:noVBand="1" w:val="04A0"/>
      </w:tblPr>
      <w:tblGrid>
        <w:gridCol w:w="10224"/>
      </w:tblGrid>
      <w:tr>
        <w:tc>
          <w:tcPr>
            <w:tcW w:type="dxa" w:w="10224"/>
          </w:tcPr>
          <w:p>
            <w:r>
              <w:t>Questions for Ray</w:t>
              <w:br/>
              <w:br/>
            </w:r>
          </w:p>
        </w:tc>
      </w:tr>
    </w:tbl>
    <w:p/>
    <w:p>
      <w:r>
        <w:t>Office: 973-939-5151 | Text/SMS: 424-440-2739 | Website: vierainvestmentgroup.com</w:t>
      </w:r>
    </w:p>
    <w:p>
      <w:r>
        <w:br w:type="page"/>
      </w:r>
    </w:p>
    <w:p>
      <w:pPr>
        <w:pStyle w:val="Heading1"/>
      </w:pPr>
      <w:r>
        <w:rPr>
          <w:rFonts w:ascii="Cormorant Garamond" w:hAnsi="Cormorant Garamond"/>
          <w:color w:val="0F1F38"/>
        </w:rPr>
        <w:t>Notes Page 1</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2</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Notes Page 3</w:t>
      </w:r>
    </w:p>
    <w:tbl>
      <w:tblPr>
        <w:tblStyle w:val="TableGrid"/>
        <w:tblW w:type="auto" w:w="0"/>
        <w:tblLook w:firstColumn="1" w:firstRow="1" w:lastColumn="0" w:lastRow="0" w:noHBand="0" w:noVBand="1" w:val="04A0"/>
      </w:tblPr>
      <w:tblGrid>
        <w:gridCol w:w="10224"/>
      </w:tblGrid>
      <w:tr>
        <w:tc>
          <w:tcPr>
            <w:tcW w:type="dxa" w:w="10224"/>
          </w:tcPr>
          <w:p>
            <w:r>
              <w:t>Notes</w:t>
              <w:br/>
              <w:br/>
            </w:r>
          </w:p>
        </w:tc>
      </w:tr>
    </w:tbl>
    <w:p/>
    <w:p>
      <w:r>
        <w:br w:type="page"/>
      </w:r>
    </w:p>
    <w:p>
      <w:pPr>
        <w:pStyle w:val="Heading1"/>
      </w:pPr>
      <w:r>
        <w:rPr>
          <w:rFonts w:ascii="Cormorant Garamond" w:hAnsi="Cormorant Garamond"/>
          <w:color w:val="0F1F38"/>
        </w:rPr>
        <w:t>Educational Disclaimer</w:t>
      </w:r>
    </w:p>
    <w:p>
      <w:r>
        <w:t>This workbook is for general educational and organizational use only. It is not legal, tax, financial, bankruptcy, foreclosure-defense, lending, housing-counseling, title, insurance, court, sheriff, or government advice.</w:t>
      </w:r>
    </w:p>
    <w:p>
      <w:r>
        <w:t>Viera Investment Group LLC is a real estate investment company, not a law firm, lender, loan servicer, HUD-approved housing counseling agency, bankruptcy professional, title company, court, sheriff, mediator, or government agency. Confirm all deadlines, calculations, service dates, balances, application requirements, court obligations, sale information, legal rights, and available options with the appropriate attorney, servicer, housing counselor, court, sheriff, or public office before acting.</w:t>
      </w:r>
    </w:p>
    <w:tbl>
      <w:tblPr>
        <w:tblStyle w:val="TableGrid"/>
        <w:tblW w:type="auto" w:w="0"/>
        <w:tblLook w:firstColumn="1" w:firstRow="1" w:lastColumn="0" w:lastRow="0" w:noHBand="0" w:noVBand="1" w:val="04A0"/>
      </w:tblPr>
      <w:tblGrid>
        <w:gridCol w:w="5112"/>
        <w:gridCol w:w="5112"/>
      </w:tblGrid>
      <w:tr>
        <w:tc>
          <w:tcPr>
            <w:tcW w:type="dxa" w:w="5112"/>
          </w:tcPr>
          <w:p>
            <w:r>
              <w:t>Workbook version</w:t>
              <w:br/>
              <w:br/>
            </w:r>
          </w:p>
        </w:tc>
        <w:tc>
          <w:tcPr>
            <w:tcW w:type="dxa" w:w="5112"/>
          </w:tcPr>
          <w:p>
            <w:r>
              <w:t>Date reviewed</w:t>
              <w:br/>
              <w:br/>
            </w:r>
          </w:p>
        </w:tc>
      </w:tr>
      <w:tr>
        <w:tc>
          <w:tcPr>
            <w:tcW w:type="dxa" w:w="5112"/>
          </w:tcPr>
          <w:p>
            <w:r>
              <w:t>Reviewed by</w:t>
              <w:br/>
              <w:br/>
            </w:r>
          </w:p>
        </w:tc>
        <w:tc>
          <w:tcPr>
            <w:tcW w:type="dxa" w:w="5112"/>
          </w:tcPr>
          <w:p>
            <w:r>
              <w:t>Questions to verify</w:t>
              <w:br/>
              <w:br/>
            </w:r>
          </w:p>
        </w:tc>
      </w:tr>
    </w:tbl>
    <w:p/>
    <w:p>
      <w:r>
        <w:br w:type="page"/>
      </w:r>
    </w:p>
    <w:p>
      <w:pPr>
        <w:pStyle w:val="Heading1"/>
      </w:pPr>
      <w:r>
        <w:rPr>
          <w:rFonts w:ascii="Cormorant Garamond" w:hAnsi="Cormorant Garamond"/>
          <w:color w:val="0F1F38"/>
        </w:rPr>
        <w:t>Back Cover</w:t>
      </w:r>
    </w:p>
    <w:p>
      <w:r>
        <w:t>Viera Investment Group LLC</w:t>
      </w:r>
    </w:p>
    <w:p>
      <w:r>
        <w:t>If you are unsure where to begin, that is okay. Let’s talk about your situation, help you understand the property-related process, and identify practical next steps when appropriate.</w:t>
      </w:r>
    </w:p>
    <w:p>
      <w:r>
        <w:t>377 Valley Rd #1218, Clifton, NJ 07013</w:t>
        <w:br/>
        <w:t>Website: vierainvestmentgroup.com</w:t>
        <w:br/>
        <w:t>Office: 973-939-5151</w:t>
        <w:br/>
        <w:t>Text/SMS: 424-440-2739</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DM Sans" w:hAnsi="DM San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