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360"/>
        <w:jc w:val="center"/>
        <w:tblLayout w:type="fixed"/>
        <w:tblLook w:firstColumn="1" w:firstRow="1" w:lastColumn="0" w:lastRow="0" w:noHBand="0" w:noVBand="1" w:val="04A0"/>
        <w:tblInd w:w="120" w:type="dxa"/>
      </w:tblPr>
      <w:tblGrid>
        <w:gridCol w:w="9994"/>
      </w:tblGrid>
      <w:tr>
        <w:tc>
          <w:tcPr>
            <w:tcW w:type="dxa" w:w="9360"/>
            <w:tcMar>
              <w:top w:w="90" w:type="dxa"/>
              <w:start w:w="120" w:type="dxa"/>
              <w:bottom w:w="90" w:type="dxa"/>
              <w:end w:w="120" w:type="dxa"/>
            </w:tcMar>
            <w:vAlign w:val="center"/>
            <w:shd w:fill="0F1F38"/>
          </w:tcPr>
          <w:p>
            <w:pPr>
              <w:jc w:val="center"/>
            </w:pPr>
            <w:r>
              <w:rPr>
                <w:rFonts w:ascii="Aptos" w:hAnsi="Aptos"/>
                <w:b/>
                <w:i w:val="0"/>
                <w:color w:val="E2C990"/>
                <w:sz w:val="18"/>
              </w:rPr>
              <w:t>NEW JERSEY PROPERTY TOOLKIT</w:t>
            </w:r>
          </w:p>
          <w:p>
            <w:pPr>
              <w:jc w:val="center"/>
            </w:pPr>
            <w:r>
              <w:rPr>
                <w:rFonts w:ascii="Georgia" w:hAnsi="Georgia"/>
                <w:b/>
                <w:i w:val="0"/>
                <w:color w:val="FFFFFF"/>
                <w:sz w:val="44"/>
              </w:rPr>
              <w:t>New Jersey Property Document Organizer</w:t>
            </w:r>
          </w:p>
          <w:p>
            <w:pPr>
              <w:jc w:val="center"/>
            </w:pPr>
            <w:r>
              <w:rPr>
                <w:rFonts w:ascii="Aptos" w:hAnsi="Aptos"/>
                <w:b/>
                <w:i w:val="0"/>
                <w:color w:val="E2C990"/>
                <w:sz w:val="17"/>
              </w:rPr>
              <w:t>DOCUMENT ORGANIZER</w:t>
            </w:r>
          </w:p>
          <w:p>
            <w:pPr>
              <w:jc w:val="center"/>
            </w:pPr>
            <w:r>
              <w:rPr>
                <w:rFonts w:ascii="Aptos" w:hAnsi="Aptos"/>
                <w:b w:val="0"/>
                <w:i w:val="0"/>
                <w:color w:val="FFFFFF"/>
                <w:sz w:val="16"/>
              </w:rPr>
              <w:t>Planning Resource No. 15  |  August 2026</w:t>
            </w:r>
          </w:p>
        </w:tc>
      </w:tr>
    </w:tbl>
    <w:p/>
    <w:p>
      <w:pPr>
        <w:spacing w:after="120" w:line="283" w:lineRule="auto"/>
      </w:pPr>
      <w:r>
        <w:rPr>
          <w:rFonts w:ascii="Aptos" w:hAnsi="Aptos"/>
          <w:b w:val="0"/>
          <w:i w:val="0"/>
          <w:color w:val="17243B"/>
          <w:sz w:val="21"/>
        </w:rPr>
        <w:t>New Jersey owners, heirs, executors, and family coordinators assembling one complete residential property file.</w:t>
      </w:r>
    </w:p>
    <w:p>
      <w:pPr>
        <w:spacing w:after="120" w:line="283" w:lineRule="auto"/>
      </w:pPr>
      <w:r>
        <w:rPr>
          <w:rFonts w:ascii="Aptos" w:hAnsi="Aptos"/>
          <w:b w:val="0"/>
          <w:i w:val="0"/>
          <w:color w:val="17243B"/>
          <w:sz w:val="21"/>
        </w:rPr>
        <w:t>Property decisions slow down when documents are scattered across people, inboxes, portals, offices, and boxes. Use this organizer to identify what exists, where it came from, who verified it, and what is still missing.</w:t>
      </w:r>
    </w:p>
    <w:tbl>
      <w:tblPr>
        <w:tblW w:type="dxa" w:w="9360"/>
        <w:jc w:val="center"/>
        <w:tblLayout w:type="fixed"/>
        <w:tblLook w:firstColumn="1" w:firstRow="1" w:lastColumn="0" w:lastRow="0" w:noHBand="0" w:noVBand="1" w:val="04A0"/>
        <w:tblInd w:w="120" w:type="dxa"/>
      </w:tblPr>
      <w:tblGrid>
        <w:gridCol w:w="9994"/>
      </w:tblGrid>
      <w:tr>
        <w:tc>
          <w:tcPr>
            <w:tcW w:type="dxa" w:w="9360"/>
            <w:tcMar>
              <w:top w:w="90" w:type="dxa"/>
              <w:start w:w="120" w:type="dxa"/>
              <w:bottom w:w="90" w:type="dxa"/>
              <w:end w:w="120" w:type="dxa"/>
            </w:tcMar>
            <w:vAlign w:val="center"/>
            <w:shd w:fill="F0E8D9"/>
          </w:tcPr>
          <w:p>
            <w:r>
              <w:rPr>
                <w:rFonts w:ascii="Georgia" w:hAnsi="Georgia"/>
                <w:b/>
                <w:i w:val="0"/>
                <w:color w:val="0F1F38"/>
                <w:sz w:val="24"/>
              </w:rPr>
              <w:t>Important</w:t>
            </w:r>
          </w:p>
          <w:p>
            <w:pPr>
              <w:spacing w:after="60"/>
            </w:pPr>
            <w:r>
              <w:rPr>
                <w:rFonts w:ascii="DejaVu Sans" w:hAnsi="DejaVu Sans"/>
                <w:b/>
                <w:i w:val="0"/>
                <w:color w:val="B89C6A"/>
                <w:sz w:val="19"/>
              </w:rPr>
              <w:t xml:space="preserve">☐  </w:t>
            </w:r>
            <w:r>
              <w:rPr>
                <w:rFonts w:ascii="Aptos" w:hAnsi="Aptos"/>
                <w:b w:val="0"/>
                <w:i w:val="0"/>
                <w:color w:val="17243B"/>
                <w:sz w:val="19"/>
              </w:rPr>
              <w:t>Use this resource to organize information and questions; do not treat it as legal, tax, financial, title, lending, court, insurance, or municipal advice.</w:t>
            </w:r>
          </w:p>
          <w:p>
            <w:pPr>
              <w:spacing w:after="60"/>
            </w:pPr>
            <w:r>
              <w:rPr>
                <w:rFonts w:ascii="DejaVu Sans" w:hAnsi="DejaVu Sans"/>
                <w:b/>
                <w:i w:val="0"/>
                <w:color w:val="B89C6A"/>
                <w:sz w:val="19"/>
              </w:rPr>
              <w:t xml:space="preserve">☐  </w:t>
            </w:r>
            <w:r>
              <w:rPr>
                <w:rFonts w:ascii="Aptos" w:hAnsi="Aptos"/>
                <w:b w:val="0"/>
                <w:i w:val="0"/>
                <w:color w:val="17243B"/>
                <w:sz w:val="19"/>
              </w:rPr>
              <w:t>Verify every deadline, payoff, authority document, public requirement, and professional conclusion with the responsible source.</w:t>
            </w:r>
          </w:p>
          <w:p>
            <w:pPr>
              <w:spacing w:after="60"/>
            </w:pPr>
            <w:r>
              <w:rPr>
                <w:rFonts w:ascii="DejaVu Sans" w:hAnsi="DejaVu Sans"/>
                <w:b/>
                <w:i w:val="0"/>
                <w:color w:val="B89C6A"/>
                <w:sz w:val="19"/>
              </w:rPr>
              <w:t xml:space="preserve">☐  </w:t>
            </w:r>
            <w:r>
              <w:rPr>
                <w:rFonts w:ascii="Aptos" w:hAnsi="Aptos"/>
                <w:b w:val="0"/>
                <w:i w:val="0"/>
                <w:color w:val="17243B"/>
                <w:sz w:val="19"/>
              </w:rPr>
              <w:t>If a court, sheriff sale, foreclosure, tax sale, safety, insurance, or occupancy deadline exists, seek qualified help immediately.</w:t>
            </w:r>
          </w:p>
        </w:tc>
      </w:tr>
    </w:tbl>
    <w:p>
      <w:pPr>
        <w:spacing w:after="40"/>
      </w:pPr>
    </w:p>
    <w:p>
      <w:pPr>
        <w:pStyle w:val="Heading1"/>
        <w:keepNext/>
      </w:pPr>
      <w:r>
        <w:rPr>
          <w:rFonts w:ascii="Georgia" w:hAnsi="Georgia"/>
          <w:b/>
          <w:i w:val="0"/>
          <w:color w:val="0F1F38"/>
          <w:sz w:val="34"/>
        </w:rPr>
        <w:t>Who Should Use This Resource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New Jersey owners, heirs, executors, and family coordinators assembling one complete residential property file.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People who need one organized file before speaking with an attorney, title company, lender, municipality, insurer, housing counselor, or buyer.</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Families comparing options without losing track of urgent property facts and deadlines.</w:t>
      </w:r>
    </w:p>
    <w:p>
      <w:r>
        <w:br w:type="page"/>
      </w:r>
    </w:p>
    <w:p>
      <w:pPr>
        <w:pStyle w:val="Heading1"/>
        <w:keepNext/>
      </w:pPr>
      <w:r>
        <w:rPr>
          <w:rFonts w:ascii="Georgia" w:hAnsi="Georgia"/>
          <w:b/>
          <w:i w:val="0"/>
          <w:color w:val="0F1F38"/>
          <w:sz w:val="34"/>
        </w:rPr>
        <w:t>Start Here: Immediate Priority Checklist</w:t>
      </w:r>
    </w:p>
    <w:p>
      <w:pPr>
        <w:spacing w:after="120" w:line="283" w:lineRule="auto"/>
      </w:pPr>
      <w:r>
        <w:rPr>
          <w:rFonts w:ascii="Aptos" w:hAnsi="Aptos"/>
          <w:b w:val="0"/>
          <w:i w:val="0"/>
          <w:color w:val="17243B"/>
          <w:sz w:val="21"/>
        </w:rPr>
        <w:t>Complete this page before the detailed worksheets. Circle or highlight any item that cannot wait.</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Keep originals secure and work from copies when possible.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Do not alter, backdate, discard, or recreate official records.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Record the source and received date for every payoff, balance, notice, or deadline.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Separate unverified family statements from documents and professional conclusions.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Protect Social Security numbers, account numbers, identification, medical information, and access credentials.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Provide the complete history to counsel and title instead of selecting only favorable documents.</w:t>
      </w:r>
    </w:p>
    <w:p>
      <w:pPr>
        <w:pStyle w:val="Heading1"/>
        <w:keepNext/>
      </w:pPr>
      <w:r>
        <w:rPr>
          <w:rFonts w:ascii="Georgia" w:hAnsi="Georgia"/>
          <w:b/>
          <w:i w:val="0"/>
          <w:color w:val="0F1F38"/>
          <w:sz w:val="34"/>
        </w:rPr>
        <w:t>Property Contact Snapshot</w:t>
      </w:r>
    </w:p>
    <w:tbl>
      <w:tblPr>
        <w:tblStyle w:val="TableGrid"/>
        <w:tblW w:type="dxa" w:w="9360"/>
        <w:jc w:val="center"/>
        <w:tblLayout w:type="fixed"/>
        <w:tblLook w:firstColumn="1" w:firstRow="1" w:lastColumn="0" w:lastRow="0" w:noHBand="0" w:noVBand="1" w:val="04A0"/>
        <w:tblInd w:w="120" w:type="dxa"/>
      </w:tblPr>
      <w:tblGrid>
        <w:gridCol w:w="4997"/>
        <w:gridCol w:w="4997"/>
      </w:tblGrid>
      <w:tr>
        <w:trPr>
          <w:tblHeader w:val="true"/>
        </w:trPr>
        <w:tc>
          <w:tcPr>
            <w:tcW w:type="dxa" w:w="3096"/>
            <w:tcMar>
              <w:top w:w="90" w:type="dxa"/>
              <w:start w:w="120" w:type="dxa"/>
              <w:bottom w:w="90" w:type="dxa"/>
              <w:end w:w="120" w:type="dxa"/>
            </w:tcMar>
            <w:vAlign w:val="center"/>
            <w:shd w:fill="0F1F38"/>
          </w:tcPr>
          <w:p>
            <w:r>
              <w:rPr>
                <w:rFonts w:ascii="Aptos" w:hAnsi="Aptos"/>
                <w:b/>
                <w:i w:val="0"/>
                <w:color w:val="FFFFFF"/>
                <w:sz w:val="18"/>
              </w:rPr>
              <w:t>Contact / Office</w:t>
            </w:r>
          </w:p>
        </w:tc>
        <w:tc>
          <w:tcPr>
            <w:tcW w:type="dxa" w:w="6264"/>
            <w:tcMar>
              <w:top w:w="90" w:type="dxa"/>
              <w:start w:w="120" w:type="dxa"/>
              <w:bottom w:w="90" w:type="dxa"/>
              <w:end w:w="120" w:type="dxa"/>
            </w:tcMar>
            <w:vAlign w:val="center"/>
            <w:shd w:fill="0F1F38"/>
          </w:tcPr>
          <w:p>
            <w:r>
              <w:rPr>
                <w:rFonts w:ascii="Aptos" w:hAnsi="Aptos"/>
                <w:b/>
                <w:i w:val="0"/>
                <w:color w:val="FFFFFF"/>
                <w:sz w:val="18"/>
              </w:rPr>
              <w:t>Name, phone, email, reference number</w:t>
            </w:r>
          </w:p>
        </w:tc>
      </w:tr>
      <w:tr>
        <w:tc>
          <w:tcPr>
            <w:tcW w:type="dxa" w:w="4997"/>
          </w:tcPr>
          <w:p>
            <w:r>
              <w:rPr>
                <w:rFonts w:ascii="Aptos" w:hAnsi="Aptos"/>
                <w:b w:val="0"/>
                <w:i w:val="0"/>
                <w:color w:val="17243B"/>
                <w:sz w:val="18"/>
              </w:rPr>
              <w:t>Owner / estate representative</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Attorney</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Title company</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Mortgage servicer</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Municipality</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Tax collector</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Insurer</w:t>
            </w:r>
          </w:p>
        </w:tc>
        <w:tc>
          <w:tcPr>
            <w:tcW w:type="dxa" w:w="4997"/>
          </w:tcPr>
          <w:p>
            <w:r>
              <w:rPr>
                <w:rFonts w:ascii="Aptos" w:hAnsi="Aptos"/>
                <w:b w:val="0"/>
                <w:i w:val="0"/>
                <w:color w:val="17243B"/>
                <w:sz w:val="18"/>
              </w:rPr>
              <w:t xml:space="preserve"> </w:t>
            </w:r>
          </w:p>
        </w:tc>
      </w:tr>
      <w:tr>
        <w:tc>
          <w:tcPr>
            <w:tcW w:type="dxa" w:w="4997"/>
          </w:tcPr>
          <w:p>
            <w:r>
              <w:rPr>
                <w:rFonts w:ascii="Aptos" w:hAnsi="Aptos"/>
                <w:b w:val="0"/>
                <w:i w:val="0"/>
                <w:color w:val="17243B"/>
                <w:sz w:val="18"/>
              </w:rPr>
              <w:t>Trusted property contact</w:t>
            </w:r>
          </w:p>
        </w:tc>
        <w:tc>
          <w:tcPr>
            <w:tcW w:type="dxa" w:w="4997"/>
          </w:tcPr>
          <w:p>
            <w:r>
              <w:rPr>
                <w:rFonts w:ascii="Aptos" w:hAnsi="Aptos"/>
                <w:b w:val="0"/>
                <w:i w:val="0"/>
                <w:color w:val="17243B"/>
                <w:sz w:val="18"/>
              </w:rPr>
              <w:t xml:space="preserve"> </w:t>
            </w:r>
          </w:p>
        </w:tc>
      </w:tr>
    </w:tbl>
    <w:p>
      <w:r>
        <w:br w:type="page"/>
      </w:r>
    </w:p>
    <w:p>
      <w:pPr>
        <w:pStyle w:val="Heading1"/>
        <w:keepNext/>
      </w:pPr>
      <w:r>
        <w:rPr>
          <w:rFonts w:ascii="Georgia" w:hAnsi="Georgia"/>
          <w:b/>
          <w:i w:val="0"/>
          <w:color w:val="0F1F38"/>
          <w:sz w:val="34"/>
        </w:rPr>
        <w:t>Ownership and Authority</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Current and prior deeds.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Will, trust, Letters, death certificate, power of attorney, entity, divorce, or court records.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Owner identification and name variations.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Surveys, title policies, easements, restrictions, and association documents.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Leases, occupancy agreements, options, contracts, or claims of interest.</w:t>
      </w:r>
    </w:p>
    <w:p>
      <w:pPr>
        <w:pStyle w:val="Heading2"/>
        <w:keepNext/>
      </w:pPr>
      <w:r>
        <w:rPr>
          <w:rFonts w:ascii="Georgia" w:hAnsi="Georgia"/>
          <w:b/>
          <w:i w:val="0"/>
          <w:color w:val="B89C6A"/>
          <w:sz w:val="25"/>
        </w:rPr>
        <w:t>Notes and Proof</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r>
        <w:br w:type="page"/>
      </w:r>
    </w:p>
    <w:p>
      <w:pPr>
        <w:pStyle w:val="Heading1"/>
        <w:keepNext/>
      </w:pPr>
      <w:r>
        <w:rPr>
          <w:rFonts w:ascii="Georgia" w:hAnsi="Georgia"/>
          <w:b/>
          <w:i w:val="0"/>
          <w:color w:val="0F1F38"/>
          <w:sz w:val="34"/>
        </w:rPr>
        <w:t>Money and Obligations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Mortgage and reverse-mortgage statements.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Payoff and reinstatement requests.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Property tax bills, tax-sale certificates, redemption calculations, and relief documents.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Utility, association, judgment, lien, child-support, estate-debt, and creditor records.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Insurance policies, claims, premiums, cancellation, and vacancy correspondence.</w:t>
      </w:r>
    </w:p>
    <w:p>
      <w:pPr>
        <w:pStyle w:val="Heading2"/>
        <w:keepNext/>
      </w:pPr>
      <w:r>
        <w:rPr>
          <w:rFonts w:ascii="Georgia" w:hAnsi="Georgia"/>
          <w:b/>
          <w:i w:val="0"/>
          <w:color w:val="B89C6A"/>
          <w:sz w:val="25"/>
        </w:rPr>
        <w:t>Notes and Proof</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r>
        <w:br w:type="page"/>
      </w:r>
    </w:p>
    <w:p>
      <w:pPr>
        <w:pStyle w:val="Heading1"/>
        <w:keepNext/>
        <w:keepLines/>
      </w:pPr>
      <w:r>
        <w:rPr>
          <w:rFonts w:ascii="Georgia" w:hAnsi="Georgia"/>
          <w:b/>
          <w:i w:val="0"/>
          <w:color w:val="0F1F38"/>
          <w:sz w:val="34"/>
        </w:rPr>
        <w:t>Condition and Municipal Records</w:t>
      </w:r>
    </w:p>
    <w:tbl>
      <w:tblPr>
        <w:tblW w:type="dxa" w:w="9290"/>
        <w:jc w:val="left"/>
        <w:tblLayout w:type="fixed"/>
        <w:tblLook w:firstColumn="1" w:firstRow="1" w:lastColumn="0" w:lastRow="0" w:noHBand="0" w:noVBand="1" w:val="04A0"/>
      </w:tblPr>
      <w:tblGrid>
        <w:gridCol w:w="9288"/>
      </w:tblGrid>
      <w:tr>
        <w:trPr>
          <w:cantSplit/>
        </w:trPr>
        <w:tc>
          <w:tcPr>
            <w:tcW w:type="dxa" w:w="9994"/>
            <w:shd w:fill="10213F"/>
            <w:tcBorders>
              <w:top w:val="single" w:sz="5" w:color="D9B44A"/>
              <w:left w:val="single" w:sz="14" w:color="D9B44A"/>
              <w:bottom w:val="single" w:sz="5" w:color="D9B44A"/>
              <w:right w:val="single" w:sz="5" w:color="D9B44A"/>
            </w:tcBorders>
            <w:tcMar>
              <w:top w:w="150" w:type="dxa"/>
              <w:left w:w="190" w:type="dxa"/>
              <w:bottom w:w="150" w:type="dxa"/>
              <w:right w:w="190" w:type="dxa"/>
            </w:tcMar>
          </w:tcPr>
          <w:p>
            <w:pPr>
              <w:spacing w:after="80"/>
              <w:jc w:val="left"/>
              <w:keepNext/>
              <w:keepLines/>
            </w:pPr>
            <w:r>
              <w:rPr>
                <w:rFonts w:ascii="Arial" w:hAnsi="Arial"/>
                <w:b/>
                <w:color w:val="EAC35B"/>
                <w:sz w:val="18"/>
              </w:rPr>
              <w:t>FREE TO FIND OUT</w:t>
            </w:r>
          </w:p>
          <w:p>
            <w:pPr>
              <w:spacing w:after="80"/>
              <w:keepNext/>
              <w:keepLines/>
            </w:pPr>
            <w:r>
              <w:rPr>
                <w:rFonts w:ascii="Arial" w:hAnsi="Arial"/>
                <w:b/>
                <w:color w:val="FFFFFF"/>
                <w:sz w:val="22"/>
              </w:rPr>
              <w:t>You do not need every document or every answer before contacting us.</w:t>
            </w:r>
          </w:p>
          <w:p>
            <w:pPr>
              <w:spacing w:after="60"/>
              <w:keepNext/>
              <w:keepLines/>
            </w:pPr>
            <w:r>
              <w:rPr>
                <w:rFonts w:ascii="Arial" w:hAnsi="Arial"/>
                <w:color w:val="FFFFFF"/>
                <w:sz w:val="18"/>
              </w:rPr>
              <w:t>We buy New Jersey houses as-is - no repairs, cleanup, showings, or commissions. Tell Ray what is happening and what deadline you are facing. It is free to find out whether a direct sale could help.</w:t>
            </w:r>
          </w:p>
          <w:p>
            <w:pPr>
              <w:spacing w:after="0"/>
            </w:pPr>
            <w:r>
              <w:rPr>
                <w:rFonts w:ascii="Arial" w:hAnsi="Arial"/>
                <w:b/>
                <w:color w:val="EAC35B"/>
                <w:sz w:val="18"/>
              </w:rPr>
              <w:t>THE PROPERTY PROBLEM CAN START BEING ADDRESSED TODAY.  Call (973) 939-5151 or text (424) 440-2739.</w:t>
            </w:r>
          </w:p>
        </w:tc>
      </w:tr>
    </w:tbl>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Permits, certificates, inspections, violations, zoning, rental, and property-maintenance records.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Repair invoices, warranties, service records, environmental reports, and contractor estimates.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Well, septic, oil tank, flood, elevation, survey, solar, pool, and private-system information.</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Photos, videos, inventories, keys, codes, meter readings, and maintenance logs.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Resale, smoke/CO, occupancy, fire, and municipal application records.</w:t>
      </w:r>
    </w:p>
    <w:p>
      <w:pPr>
        <w:pStyle w:val="Heading2"/>
        <w:keepNext/>
      </w:pPr>
      <w:r>
        <w:rPr>
          <w:rFonts w:ascii="Georgia" w:hAnsi="Georgia"/>
          <w:b/>
          <w:i w:val="0"/>
          <w:color w:val="B89C6A"/>
          <w:sz w:val="25"/>
        </w:rPr>
        <w:t>Notes and Proof</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r>
        <w:br w:type="page"/>
      </w:r>
    </w:p>
    <w:p>
      <w:pPr>
        <w:pStyle w:val="Heading1"/>
        <w:keepNext/>
      </w:pPr>
      <w:r>
        <w:rPr>
          <w:rFonts w:ascii="Georgia" w:hAnsi="Georgia"/>
          <w:b/>
          <w:i w:val="0"/>
          <w:color w:val="0F1F38"/>
          <w:sz w:val="34"/>
        </w:rPr>
        <w:t>Transaction and Decision File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Listing proposals, direct offers, proof of funds, net sheets, repair estimates, and comparison worksheets.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Attorney review, contract, riders, disclosures, deposit, title, payoff, inspection, and closing correspondence.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Family meeting notes, approvals, objections, assigned tasks, and professional advice.</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Final settlement statement, deed, affidavits, receipts, releases, and retained reserves.</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Post-closing address changes, account closures, tax documents, and distribution records.</w:t>
      </w:r>
    </w:p>
    <w:p>
      <w:pPr>
        <w:pStyle w:val="Heading2"/>
        <w:keepNext/>
      </w:pPr>
      <w:r>
        <w:rPr>
          <w:rFonts w:ascii="Georgia" w:hAnsi="Georgia"/>
          <w:b/>
          <w:i w:val="0"/>
          <w:color w:val="B89C6A"/>
          <w:sz w:val="25"/>
        </w:rPr>
        <w:t>Notes and Proof</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r>
        <w:br w:type="page"/>
      </w:r>
    </w:p>
    <w:p>
      <w:pPr>
        <w:pStyle w:val="Heading1"/>
        <w:keepNext/>
      </w:pPr>
      <w:r>
        <w:rPr>
          <w:rFonts w:ascii="Georgia" w:hAnsi="Georgia"/>
          <w:b/>
          <w:i w:val="0"/>
          <w:color w:val="0F1F38"/>
          <w:sz w:val="34"/>
        </w:rPr>
        <w:t>Master Document Index</w:t>
      </w:r>
    </w:p>
    <w:tbl>
      <w:tblPr>
        <w:tblStyle w:val="TableGrid"/>
        <w:tblW w:type="dxa" w:w="9360"/>
        <w:jc w:val="center"/>
        <w:tblLayout w:type="fixed"/>
        <w:tblLook w:firstColumn="1" w:firstRow="1" w:lastColumn="0" w:lastRow="0" w:noHBand="0" w:noVBand="1" w:val="04A0"/>
        <w:tblInd w:w="120" w:type="dxa"/>
      </w:tblPr>
      <w:tblGrid>
        <w:gridCol w:w="2498"/>
        <w:gridCol w:w="2498"/>
        <w:gridCol w:w="2498"/>
        <w:gridCol w:w="2498"/>
      </w:tblGrid>
      <w:tr>
        <w:trPr>
          <w:tblHeader w:val="true"/>
        </w:trPr>
        <w:tc>
          <w:tcPr>
            <w:tcW w:type="dxa" w:w="2880"/>
            <w:tcMar>
              <w:top w:w="90" w:type="dxa"/>
              <w:start w:w="120" w:type="dxa"/>
              <w:bottom w:w="90" w:type="dxa"/>
              <w:end w:w="120" w:type="dxa"/>
            </w:tcMar>
            <w:vAlign w:val="center"/>
            <w:shd w:fill="0F1F38"/>
          </w:tcPr>
          <w:p>
            <w:r>
              <w:rPr>
                <w:rFonts w:ascii="Aptos" w:hAnsi="Aptos"/>
                <w:b/>
                <w:i w:val="0"/>
                <w:color w:val="FFFFFF"/>
                <w:sz w:val="18"/>
              </w:rPr>
              <w:t>Document</w:t>
            </w:r>
          </w:p>
        </w:tc>
        <w:tc>
          <w:tcPr>
            <w:tcW w:type="dxa" w:w="2016"/>
            <w:tcMar>
              <w:top w:w="90" w:type="dxa"/>
              <w:start w:w="120" w:type="dxa"/>
              <w:bottom w:w="90" w:type="dxa"/>
              <w:end w:w="120" w:type="dxa"/>
            </w:tcMar>
            <w:vAlign w:val="center"/>
            <w:shd w:fill="0F1F38"/>
          </w:tcPr>
          <w:p>
            <w:r>
              <w:rPr>
                <w:rFonts w:ascii="Aptos" w:hAnsi="Aptos"/>
                <w:b/>
                <w:i w:val="0"/>
                <w:color w:val="FFFFFF"/>
                <w:sz w:val="18"/>
              </w:rPr>
              <w:t>Source</w:t>
            </w:r>
          </w:p>
        </w:tc>
        <w:tc>
          <w:tcPr>
            <w:tcW w:type="dxa" w:w="1440"/>
            <w:tcMar>
              <w:top w:w="90" w:type="dxa"/>
              <w:start w:w="120" w:type="dxa"/>
              <w:bottom w:w="90" w:type="dxa"/>
              <w:end w:w="120" w:type="dxa"/>
            </w:tcMar>
            <w:vAlign w:val="center"/>
            <w:shd w:fill="0F1F38"/>
          </w:tcPr>
          <w:p>
            <w:r>
              <w:rPr>
                <w:rFonts w:ascii="Aptos" w:hAnsi="Aptos"/>
                <w:b/>
                <w:i w:val="0"/>
                <w:color w:val="FFFFFF"/>
                <w:sz w:val="18"/>
              </w:rPr>
              <w:t>Date</w:t>
            </w:r>
          </w:p>
        </w:tc>
        <w:tc>
          <w:tcPr>
            <w:tcW w:type="dxa" w:w="3024"/>
            <w:tcMar>
              <w:top w:w="90" w:type="dxa"/>
              <w:start w:w="120" w:type="dxa"/>
              <w:bottom w:w="90" w:type="dxa"/>
              <w:end w:w="120" w:type="dxa"/>
            </w:tcMar>
            <w:vAlign w:val="center"/>
            <w:shd w:fill="0F1F38"/>
          </w:tcPr>
          <w:p>
            <w:r>
              <w:rPr>
                <w:rFonts w:ascii="Aptos" w:hAnsi="Aptos"/>
                <w:b/>
                <w:i w:val="0"/>
                <w:color w:val="FFFFFF"/>
                <w:sz w:val="18"/>
              </w:rPr>
              <w:t>Stored / Missing</w:t>
            </w:r>
          </w:p>
        </w:tc>
      </w:tr>
      <w:tr>
        <w:tc>
          <w:tcPr>
            <w:tcW w:type="dxa" w:w="2498"/>
          </w:tcPr>
          <w:p>
            <w:r>
              <w:rPr>
                <w:rFonts w:ascii="Aptos" w:hAnsi="Aptos"/>
                <w:b w:val="0"/>
                <w:i w:val="0"/>
                <w:color w:val="17243B"/>
                <w:sz w:val="18"/>
              </w:rPr>
              <w:t>Deed / title policy</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Authority documents</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Mortgage / payoff</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Taxes / tax liens</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Utilities / association</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Insurance</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Permits / violations</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Survey / property systems</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Occupancy / leases</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Offers / contract / closing</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bl>
    <w:p/>
    <w:p>
      <w:r>
        <w:br w:type="page"/>
      </w:r>
    </w:p>
    <w:p>
      <w:pPr>
        <w:pStyle w:val="Heading1"/>
        <w:keepNext/>
      </w:pPr>
      <w:r>
        <w:rPr>
          <w:rFonts w:ascii="Georgia" w:hAnsi="Georgia"/>
          <w:b/>
          <w:i w:val="0"/>
          <w:color w:val="0F1F38"/>
          <w:sz w:val="34"/>
        </w:rPr>
        <w:t>Notice and Deadline Index</w:t>
      </w:r>
    </w:p>
    <w:tbl>
      <w:tblPr>
        <w:tblStyle w:val="TableGrid"/>
        <w:tblW w:type="dxa" w:w="9360"/>
        <w:jc w:val="center"/>
        <w:tblLayout w:type="fixed"/>
        <w:tblLook w:firstColumn="1" w:firstRow="1" w:lastColumn="0" w:lastRow="0" w:noHBand="0" w:noVBand="1" w:val="04A0"/>
        <w:tblInd w:w="120" w:type="dxa"/>
      </w:tblPr>
      <w:tblGrid>
        <w:gridCol w:w="2498"/>
        <w:gridCol w:w="2498"/>
        <w:gridCol w:w="2498"/>
        <w:gridCol w:w="2498"/>
      </w:tblGrid>
      <w:tr>
        <w:trPr>
          <w:tblHeader w:val="true"/>
        </w:trPr>
        <w:tc>
          <w:tcPr>
            <w:tcW w:type="dxa" w:w="2880"/>
            <w:tcMar>
              <w:top w:w="90" w:type="dxa"/>
              <w:start w:w="120" w:type="dxa"/>
              <w:bottom w:w="90" w:type="dxa"/>
              <w:end w:w="120" w:type="dxa"/>
            </w:tcMar>
            <w:vAlign w:val="center"/>
            <w:shd w:fill="0F1F38"/>
          </w:tcPr>
          <w:p>
            <w:r>
              <w:rPr>
                <w:rFonts w:ascii="Aptos" w:hAnsi="Aptos"/>
                <w:b/>
                <w:i w:val="0"/>
                <w:color w:val="FFFFFF"/>
                <w:sz w:val="18"/>
              </w:rPr>
              <w:t>Notice / Event</w:t>
            </w:r>
          </w:p>
        </w:tc>
        <w:tc>
          <w:tcPr>
            <w:tcW w:type="dxa" w:w="2016"/>
            <w:tcMar>
              <w:top w:w="90" w:type="dxa"/>
              <w:start w:w="120" w:type="dxa"/>
              <w:bottom w:w="90" w:type="dxa"/>
              <w:end w:w="120" w:type="dxa"/>
            </w:tcMar>
            <w:vAlign w:val="center"/>
            <w:shd w:fill="0F1F38"/>
          </w:tcPr>
          <w:p>
            <w:r>
              <w:rPr>
                <w:rFonts w:ascii="Aptos" w:hAnsi="Aptos"/>
                <w:b/>
                <w:i w:val="0"/>
                <w:color w:val="FFFFFF"/>
                <w:sz w:val="18"/>
              </w:rPr>
              <w:t>Received</w:t>
            </w:r>
          </w:p>
        </w:tc>
        <w:tc>
          <w:tcPr>
            <w:tcW w:type="dxa" w:w="1440"/>
            <w:tcMar>
              <w:top w:w="90" w:type="dxa"/>
              <w:start w:w="120" w:type="dxa"/>
              <w:bottom w:w="90" w:type="dxa"/>
              <w:end w:w="120" w:type="dxa"/>
            </w:tcMar>
            <w:vAlign w:val="center"/>
            <w:shd w:fill="0F1F38"/>
          </w:tcPr>
          <w:p>
            <w:r>
              <w:rPr>
                <w:rFonts w:ascii="Aptos" w:hAnsi="Aptos"/>
                <w:b/>
                <w:i w:val="0"/>
                <w:color w:val="FFFFFF"/>
                <w:sz w:val="18"/>
              </w:rPr>
              <w:t>Deadline</w:t>
            </w:r>
          </w:p>
        </w:tc>
        <w:tc>
          <w:tcPr>
            <w:tcW w:type="dxa" w:w="3024"/>
            <w:tcMar>
              <w:top w:w="90" w:type="dxa"/>
              <w:start w:w="120" w:type="dxa"/>
              <w:bottom w:w="90" w:type="dxa"/>
              <w:end w:w="120" w:type="dxa"/>
            </w:tcMar>
            <w:vAlign w:val="center"/>
            <w:shd w:fill="0F1F38"/>
          </w:tcPr>
          <w:p>
            <w:r>
              <w:rPr>
                <w:rFonts w:ascii="Aptos" w:hAnsi="Aptos"/>
                <w:b/>
                <w:i w:val="0"/>
                <w:color w:val="FFFFFF"/>
                <w:sz w:val="18"/>
              </w:rPr>
              <w:t>Owner / Proof</w:t>
            </w:r>
          </w:p>
        </w:tc>
      </w:tr>
      <w:tr>
        <w:tc>
          <w:tcPr>
            <w:tcW w:type="dxa" w:w="2498"/>
          </w:tcPr>
          <w:p>
            <w:r>
              <w:rPr>
                <w:rFonts w:ascii="Aptos" w:hAnsi="Aptos"/>
                <w:b w:val="0"/>
                <w:i w:val="0"/>
                <w:color w:val="17243B"/>
                <w:sz w:val="18"/>
              </w:rPr>
              <w:t>Mortgage / servicer</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Court / sheriff</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Tax collector</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Municipality</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Insurance</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Association</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Attorney / title</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r>
        <w:tc>
          <w:tcPr>
            <w:tcW w:type="dxa" w:w="2498"/>
          </w:tcPr>
          <w:p>
            <w:r>
              <w:rPr>
                <w:rFonts w:ascii="Aptos" w:hAnsi="Aptos"/>
                <w:b w:val="0"/>
                <w:i w:val="0"/>
                <w:color w:val="17243B"/>
                <w:sz w:val="18"/>
              </w:rPr>
              <w:t>Other</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c>
          <w:tcPr>
            <w:tcW w:type="dxa" w:w="2498"/>
          </w:tcPr>
          <w:p>
            <w:r>
              <w:rPr>
                <w:rFonts w:ascii="Aptos" w:hAnsi="Aptos"/>
                <w:b w:val="0"/>
                <w:i w:val="0"/>
                <w:color w:val="17243B"/>
                <w:sz w:val="18"/>
              </w:rPr>
              <w:t xml:space="preserve"> </w:t>
            </w:r>
          </w:p>
        </w:tc>
      </w:tr>
    </w:tbl>
    <w:p/>
    <w:p>
      <w:r>
        <w:br w:type="page"/>
      </w:r>
    </w:p>
    <w:p>
      <w:pPr>
        <w:pStyle w:val="Heading1"/>
        <w:keepNext/>
      </w:pPr>
      <w:r>
        <w:rPr>
          <w:rFonts w:ascii="Georgia" w:hAnsi="Georgia"/>
          <w:b/>
          <w:i w:val="0"/>
          <w:color w:val="0F1F38"/>
          <w:sz w:val="34"/>
        </w:rPr>
        <w:t>Questions to Take to the Right Professional</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Which document proves ownership and signing authority?</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Which balance or deadline is current and written?</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What important record is still missing?</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Who is responsible for obtaining and verifying it?</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spacing w:after="100" w:line="269" w:lineRule="auto"/>
        <w:ind w:left="115" w:hanging="29"/>
      </w:pPr>
      <w:r>
        <w:rPr>
          <w:rFonts w:ascii="DejaVu Sans" w:hAnsi="DejaVu Sans"/>
          <w:b/>
          <w:i w:val="0"/>
          <w:color w:val="B89C6A"/>
          <w:sz w:val="21"/>
        </w:rPr>
        <w:t xml:space="preserve">☐  </w:t>
      </w:r>
      <w:r>
        <w:rPr>
          <w:rFonts w:ascii="Aptos" w:hAnsi="Aptos"/>
          <w:b w:val="0"/>
          <w:i w:val="0"/>
          <w:color w:val="17243B"/>
          <w:sz w:val="20"/>
        </w:rPr>
        <w:t>Where will the complete secure file be stored?</w:t>
      </w:r>
    </w:p>
    <w:p>
      <w:pPr>
        <w:spacing w:after="120" w:line="283" w:lineRule="auto"/>
      </w:pPr>
      <w:r>
        <w:rPr>
          <w:rFonts w:ascii="Aptos" w:hAnsi="Aptos"/>
          <w:b w:val="0"/>
          <w:i w:val="0"/>
          <w:color w:val="17243B"/>
          <w:sz w:val="21"/>
        </w:rPr>
        <w:t>________________________________________________________________________________</w:t>
      </w:r>
    </w:p>
    <w:p>
      <w:pPr>
        <w:spacing w:after="120" w:line="283" w:lineRule="auto"/>
      </w:pPr>
      <w:r>
        <w:rPr>
          <w:rFonts w:ascii="Aptos" w:hAnsi="Aptos"/>
          <w:b w:val="0"/>
          <w:i w:val="0"/>
          <w:color w:val="17243B"/>
          <w:sz w:val="21"/>
        </w:rPr>
        <w:t>________________________________________________________________________________</w:t>
      </w:r>
    </w:p>
    <w:p>
      <w:pPr>
        <w:pStyle w:val="Heading1"/>
        <w:keepNext/>
      </w:pPr>
      <w:r>
        <w:rPr>
          <w:rFonts w:ascii="Georgia" w:hAnsi="Georgia"/>
          <w:b/>
          <w:i w:val="0"/>
          <w:color w:val="0F1F38"/>
          <w:sz w:val="34"/>
        </w:rPr>
        <w:t>My Next Three Actions</w:t>
      </w:r>
    </w:p>
    <w:p>
      <w:pPr>
        <w:spacing w:after="120" w:line="283" w:lineRule="auto"/>
      </w:pPr>
      <w:r>
        <w:rPr>
          <w:rFonts w:ascii="Aptos" w:hAnsi="Aptos"/>
          <w:b w:val="0"/>
          <w:i w:val="0"/>
          <w:color w:val="17243B"/>
          <w:sz w:val="21"/>
        </w:rPr>
        <w:t>1. Action: ____________________________________  Owner: __________________  Due: __________</w:t>
      </w:r>
    </w:p>
    <w:p>
      <w:pPr>
        <w:spacing w:after="120" w:line="283" w:lineRule="auto"/>
      </w:pPr>
      <w:r>
        <w:rPr>
          <w:rFonts w:ascii="Aptos" w:hAnsi="Aptos"/>
          <w:b w:val="0"/>
          <w:i w:val="0"/>
          <w:color w:val="17243B"/>
          <w:sz w:val="21"/>
        </w:rPr>
        <w:t>2. Action: ____________________________________  Owner: __________________  Due: __________</w:t>
      </w:r>
    </w:p>
    <w:p>
      <w:pPr>
        <w:spacing w:after="120" w:line="283" w:lineRule="auto"/>
      </w:pPr>
      <w:r>
        <w:rPr>
          <w:rFonts w:ascii="Aptos" w:hAnsi="Aptos"/>
          <w:b w:val="0"/>
          <w:i w:val="0"/>
          <w:color w:val="17243B"/>
          <w:sz w:val="21"/>
        </w:rPr>
        <w:t>3. Action: ____________________________________  Owner: __________________  Due: __________</w:t>
      </w:r>
    </w:p>
    <w:p>
      <w:pPr>
        <w:pStyle w:val="Heading1"/>
        <w:keepNext/>
      </w:pPr>
      <w:r>
        <w:rPr>
          <w:rFonts w:ascii="Georgia" w:hAnsi="Georgia"/>
          <w:b/>
          <w:i w:val="0"/>
          <w:color w:val="0F1F38"/>
          <w:sz w:val="34"/>
        </w:rPr>
        <w:t>Official Starting Sources</w:t>
      </w:r>
    </w:p>
    <w:p>
      <w:pPr>
        <w:spacing w:after="120" w:line="283" w:lineRule="auto"/>
      </w:pPr>
      <w:r>
        <w:rPr>
          <w:rFonts w:ascii="Aptos" w:hAnsi="Aptos"/>
          <w:b w:val="0"/>
          <w:i w:val="0"/>
          <w:color w:val="17243B"/>
          <w:sz w:val="21"/>
        </w:rPr>
        <w:t>Use current official instructions and confirm that each source applies to the specific property and situation.</w:t>
      </w:r>
    </w:p>
    <w:p>
      <w:pPr>
        <w:spacing w:after="120"/>
      </w:pPr>
      <w:r>
        <w:rPr>
          <w:rFonts w:ascii="Aptos" w:hAnsi="Aptos"/>
          <w:b/>
          <w:i w:val="0"/>
          <w:color w:val="17243B"/>
          <w:sz w:val="18"/>
        </w:rPr>
        <w:t xml:space="preserve">New Jersey County Clerks: </w:t>
      </w:r>
      <w:r>
        <w:rPr>
          <w:rFonts w:ascii="Aptos" w:hAnsi="Aptos"/>
          <w:b w:val="0"/>
          <w:i w:val="0"/>
          <w:color w:val="285B8F"/>
          <w:sz w:val="18"/>
        </w:rPr>
        <w:t>https://www.nj.gov/nj/community/counties/</w:t>
      </w:r>
    </w:p>
    <w:p>
      <w:pPr>
        <w:spacing w:after="120"/>
      </w:pPr>
      <w:r>
        <w:rPr>
          <w:rFonts w:ascii="Aptos" w:hAnsi="Aptos"/>
          <w:b/>
          <w:i w:val="0"/>
          <w:color w:val="17243B"/>
          <w:sz w:val="18"/>
        </w:rPr>
        <w:t xml:space="preserve">New Jersey Courts: </w:t>
      </w:r>
      <w:r>
        <w:rPr>
          <w:rFonts w:ascii="Aptos" w:hAnsi="Aptos"/>
          <w:b w:val="0"/>
          <w:i w:val="0"/>
          <w:color w:val="285B8F"/>
          <w:sz w:val="18"/>
        </w:rPr>
        <w:t>https://www.njcourts.gov/</w:t>
      </w:r>
    </w:p>
    <w:p>
      <w:pPr>
        <w:spacing w:after="120"/>
      </w:pPr>
      <w:r>
        <w:rPr>
          <w:rFonts w:ascii="Aptos" w:hAnsi="Aptos"/>
          <w:b/>
          <w:i w:val="0"/>
          <w:color w:val="17243B"/>
          <w:sz w:val="18"/>
        </w:rPr>
        <w:t xml:space="preserve">New Jersey Department of Community Affairs: </w:t>
      </w:r>
      <w:r>
        <w:rPr>
          <w:rFonts w:ascii="Aptos" w:hAnsi="Aptos"/>
          <w:b w:val="0"/>
          <w:i w:val="0"/>
          <w:color w:val="285B8F"/>
          <w:sz w:val="18"/>
        </w:rPr>
        <w:t>https://www.nj.gov/dca/</w:t>
      </w:r>
    </w:p>
    <w:p>
      <w:r>
        <w:br w:type="page"/>
      </w:r>
    </w:p>
    <w:tbl>
      <w:tblPr>
        <w:tblW w:type="dxa" w:w="9360"/>
        <w:jc w:val="center"/>
        <w:tblLayout w:type="fixed"/>
        <w:tblLook w:firstColumn="1" w:firstRow="1" w:lastColumn="0" w:lastRow="0" w:noHBand="0" w:noVBand="1" w:val="04A0"/>
        <w:tblInd w:w="120" w:type="dxa"/>
      </w:tblPr>
      <w:tblGrid>
        <w:gridCol w:w="9994"/>
      </w:tblGrid>
      <w:tr>
        <w:tc>
          <w:tcPr>
            <w:tcW w:type="dxa" w:w="9360"/>
            <w:tcMar>
              <w:top w:w="90" w:type="dxa"/>
              <w:start w:w="120" w:type="dxa"/>
              <w:bottom w:w="90" w:type="dxa"/>
              <w:end w:w="120" w:type="dxa"/>
            </w:tcMar>
            <w:vAlign w:val="center"/>
            <w:shd w:fill="162847"/>
          </w:tcPr>
          <w:p>
            <w:r>
              <w:rPr>
                <w:rFonts w:ascii="Georgia" w:hAnsi="Georgia"/>
                <w:b/>
                <w:i w:val="0"/>
                <w:color w:val="FFFFFF"/>
                <w:sz w:val="24"/>
              </w:rPr>
              <w:t>The Property Problem Can Stop Today</w:t>
            </w:r>
          </w:p>
          <w:p>
            <w:pPr>
              <w:spacing w:after="60"/>
            </w:pPr>
            <w:r>
              <w:rPr>
                <w:rFonts w:ascii="DejaVu Sans" w:hAnsi="DejaVu Sans"/>
                <w:b/>
                <w:i w:val="0"/>
                <w:color w:val="FFFFFF"/>
                <w:sz w:val="19"/>
              </w:rPr>
              <w:t xml:space="preserve">☐  </w:t>
            </w:r>
            <w:r>
              <w:rPr>
                <w:rFonts w:ascii="Aptos" w:hAnsi="Aptos"/>
                <w:b w:val="0"/>
                <w:i w:val="0"/>
                <w:color w:val="FFFFFF"/>
                <w:sz w:val="19"/>
              </w:rPr>
              <w:t>You do not have to repair, clean out, stage, or list a qualifying property before asking about a direct as-is purchase.</w:t>
            </w:r>
          </w:p>
          <w:p>
            <w:pPr>
              <w:spacing w:after="60"/>
            </w:pPr>
            <w:r>
              <w:rPr>
                <w:rFonts w:ascii="DejaVu Sans" w:hAnsi="DejaVu Sans"/>
                <w:b/>
                <w:i w:val="0"/>
                <w:color w:val="FFFFFF"/>
                <w:sz w:val="19"/>
              </w:rPr>
              <w:t xml:space="preserve">☐  </w:t>
            </w:r>
            <w:r>
              <w:rPr>
                <w:rFonts w:ascii="Aptos" w:hAnsi="Aptos"/>
                <w:b w:val="0"/>
                <w:i w:val="0"/>
                <w:color w:val="FFFFFF"/>
                <w:sz w:val="19"/>
              </w:rPr>
              <w:t>Tell Ray what is happening, what deadline exists, and what documents you have. It is free to find out whether Viera Investment Group LLC can help.</w:t>
            </w:r>
          </w:p>
          <w:p>
            <w:pPr>
              <w:spacing w:after="60"/>
            </w:pPr>
            <w:r>
              <w:rPr>
                <w:rFonts w:ascii="DejaVu Sans" w:hAnsi="DejaVu Sans"/>
                <w:b/>
                <w:i w:val="0"/>
                <w:color w:val="FFFFFF"/>
                <w:sz w:val="19"/>
              </w:rPr>
              <w:t xml:space="preserve">☐  </w:t>
            </w:r>
            <w:r>
              <w:rPr>
                <w:rFonts w:ascii="Aptos" w:hAnsi="Aptos"/>
                <w:b w:val="0"/>
                <w:i w:val="0"/>
                <w:color w:val="FFFFFF"/>
                <w:sz w:val="19"/>
              </w:rPr>
              <w:t>Call (973) 939-5151 or text (424) 440-2739. Visit vierainvestmentgroup.com/contact.</w:t>
            </w:r>
          </w:p>
        </w:tc>
      </w:tr>
    </w:tbl>
    <w:p>
      <w:pPr>
        <w:spacing w:after="40"/>
      </w:pPr>
    </w:p>
    <w:p>
      <w:pPr>
        <w:pStyle w:val="Heading1"/>
        <w:keepNext/>
      </w:pPr>
      <w:r>
        <w:rPr>
          <w:rFonts w:ascii="Georgia" w:hAnsi="Georgia"/>
          <w:b/>
          <w:i w:val="0"/>
          <w:color w:val="0F1F38"/>
          <w:sz w:val="34"/>
        </w:rPr>
        <w:t>Educational Use and Professional Coordination</w:t>
      </w:r>
    </w:p>
    <w:p>
      <w:pPr>
        <w:spacing w:after="120" w:line="283" w:lineRule="auto"/>
      </w:pPr>
      <w:r>
        <w:rPr>
          <w:rFonts w:ascii="Aptos" w:hAnsi="Aptos"/>
          <w:b w:val="0"/>
          <w:i w:val="0"/>
          <w:color w:val="17243B"/>
          <w:sz w:val="21"/>
        </w:rPr>
        <w:t>This resource is provided by Viera Investment Group LLC for general educational and organizational purposes. It does not create an attorney-client, fiduciary, brokerage, lending, tax, insurance, title, or advisory relationship. Laws, court rules, servicing requirements, municipal procedures, fees, forms, and deadlines can change. Consult appropriately licensed professionals and responsible public offices about the specific property.</w:t>
      </w:r>
    </w:p>
    <w:p>
      <w:pPr>
        <w:spacing w:after="120" w:line="283" w:lineRule="auto"/>
      </w:pPr>
      <w:r>
        <w:rPr>
          <w:rFonts w:ascii="Aptos" w:hAnsi="Aptos"/>
          <w:b w:val="0"/>
          <w:i w:val="0"/>
          <w:color w:val="17243B"/>
          <w:sz w:val="21"/>
        </w:rPr>
        <w:t>Viera Investment Group LLC may evaluate qualifying New Jersey residential property for a direct as-is purchase. A property review or offer is not legal advice, and no visitor is obligated to sell.</w:t>
      </w:r>
    </w:p>
    <w:p>
      <w:pPr>
        <w:spacing w:after="120" w:line="283" w:lineRule="auto"/>
      </w:pPr>
      <w:r>
        <w:rPr>
          <w:rFonts w:ascii="Aptos" w:hAnsi="Aptos"/>
          <w:b w:val="0"/>
          <w:i w:val="0"/>
          <w:color w:val="17243B"/>
          <w:sz w:val="21"/>
        </w:rPr>
        <w:t>Viera Investment Group LLC | 377 Valley Rd #1218, Clifton, NJ 07013 | (973) 939-5151 | vierainvestmentgroup.com</w:t>
      </w:r>
    </w:p>
    <w:sectPr w:rsidR="00FC693F" w:rsidRPr="0006063C" w:rsidSect="00034616">
      <w:headerReference w:type="default" r:id="rId9"/>
      <w:footerReference w:type="default" r:id="rId10"/>
      <w:pgSz w:w="12240" w:h="15840"/>
      <w:pgMar w:top="1037" w:right="1123" w:bottom="1008"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Aptos" w:hAnsi="Aptos"/>
        <w:b w:val="0"/>
        <w:i w:val="0"/>
        <w:color w:val="556176"/>
        <w:sz w:val="14"/>
      </w:rPr>
      <w:t>Educational planning resource  |  vierainvestmentgroup.com  |  (973) 939-5151</w:t>
    </w:r>
  </w:p>
  <w:p>
    <w:pPr>
      <w:jc w:val="right"/>
    </w:pPr>
    <w:r>
      <w:rPr>
        <w:rFonts w:ascii="Aptos" w:hAnsi="Aptos"/>
        <w:b w:val="0"/>
        <w:i w:val="0"/>
        <w:color w:val="556176"/>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556176"/>
        <w:sz w:val="15"/>
      </w:rPr>
      <w:t>VIERA INVESTMENT GROUP LLC  |  NEW JERSEY PROPERTY TOOLKIT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ptos" w:hAnsi="Aptos"/>
      <w:color w:val="17243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Georgia" w:hAnsi="Georgia"/>
      <w:b/>
      <w:bCs/>
      <w:color w:val="0F1F38"/>
      <w:sz w:val="34"/>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Georgia" w:hAnsi="Georgia"/>
      <w:b/>
      <w:bCs/>
      <w:color w:val="B89C6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Jersey Property Document Organizer</dc:title>
  <dc:subject>New Jersey Property Toolkit educational planning resource</dc:subject>
  <dc:creator>Viera Investment Group LLC</dc:creator>
  <cp:keywords>DOCUMENT ORGANIZER, New Jersey property toolkit, Viera Investment Group LLC</cp:keywords>
  <dc:description>generated by python-docx</dc:description>
  <cp:lastModifiedBy/>
  <cp:revision>1</cp:revision>
  <dcterms:created xsi:type="dcterms:W3CDTF">2013-12-23T23:15:00Z</dcterms:created>
  <dcterms:modified xsi:type="dcterms:W3CDTF">2013-12-23T23:15:00Z</dcterms:modified>
  <cp:category/>
</cp:coreProperties>
</file>